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877" w:rsidRPr="001D650D" w:rsidRDefault="00812877" w:rsidP="00812877">
      <w:pPr>
        <w:jc w:val="left"/>
        <w:rPr>
          <w:rFonts w:ascii="仿宋_GB2312" w:eastAsia="仿宋_GB2312"/>
          <w:color w:val="000000"/>
          <w:sz w:val="32"/>
          <w:szCs w:val="32"/>
        </w:rPr>
      </w:pPr>
      <w:r w:rsidRPr="001D650D">
        <w:rPr>
          <w:rFonts w:ascii="仿宋_GB2312" w:eastAsia="仿宋_GB2312" w:hint="eastAsia"/>
          <w:color w:val="000000"/>
          <w:sz w:val="32"/>
          <w:szCs w:val="32"/>
        </w:rPr>
        <w:t>附件1</w:t>
      </w:r>
    </w:p>
    <w:p w:rsidR="00812877" w:rsidRDefault="00812877" w:rsidP="00812877">
      <w:pPr>
        <w:jc w:val="center"/>
        <w:rPr>
          <w:color w:val="000000"/>
          <w:sz w:val="40"/>
          <w:szCs w:val="40"/>
        </w:rPr>
      </w:pPr>
      <w:r>
        <w:rPr>
          <w:rFonts w:hint="eastAsia"/>
          <w:color w:val="000000"/>
          <w:sz w:val="40"/>
          <w:szCs w:val="40"/>
        </w:rPr>
        <w:t>律师事务所</w:t>
      </w:r>
      <w:r w:rsidR="002F06D1">
        <w:rPr>
          <w:rFonts w:hint="eastAsia"/>
          <w:color w:val="000000"/>
          <w:sz w:val="40"/>
          <w:szCs w:val="40"/>
        </w:rPr>
        <w:t>自查评分表</w:t>
      </w:r>
    </w:p>
    <w:p w:rsidR="00812877" w:rsidRDefault="00812877" w:rsidP="00812877">
      <w:pPr>
        <w:jc w:val="center"/>
        <w:rPr>
          <w:rFonts w:ascii="楷体_GB2312" w:eastAsia="楷体_GB2312"/>
          <w:color w:val="000000"/>
          <w:sz w:val="28"/>
          <w:szCs w:val="28"/>
        </w:rPr>
      </w:pPr>
      <w:r>
        <w:rPr>
          <w:rFonts w:ascii="楷体_GB2312" w:eastAsia="楷体_GB2312" w:hint="eastAsia"/>
          <w:color w:val="000000"/>
          <w:sz w:val="28"/>
          <w:szCs w:val="28"/>
        </w:rPr>
        <w:t>（总分：100分）</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60"/>
        <w:gridCol w:w="1440"/>
        <w:gridCol w:w="6840"/>
        <w:gridCol w:w="3600"/>
        <w:gridCol w:w="900"/>
        <w:gridCol w:w="900"/>
      </w:tblGrid>
      <w:tr w:rsidR="00812877" w:rsidTr="003A3E80">
        <w:trPr>
          <w:trHeight w:val="454"/>
        </w:trPr>
        <w:tc>
          <w:tcPr>
            <w:tcW w:w="1260" w:type="dxa"/>
            <w:vAlign w:val="center"/>
          </w:tcPr>
          <w:p w:rsidR="00812877" w:rsidRDefault="00812877" w:rsidP="003A3E80">
            <w:pPr>
              <w:jc w:val="center"/>
              <w:rPr>
                <w:rFonts w:ascii="宋体" w:hAnsi="宋体"/>
                <w:color w:val="000000"/>
                <w:sz w:val="24"/>
                <w:szCs w:val="24"/>
              </w:rPr>
            </w:pPr>
            <w:r>
              <w:rPr>
                <w:rFonts w:ascii="宋体" w:hAnsi="宋体" w:hint="eastAsia"/>
                <w:color w:val="000000"/>
                <w:sz w:val="24"/>
                <w:szCs w:val="24"/>
              </w:rPr>
              <w:t>类别</w:t>
            </w:r>
          </w:p>
        </w:tc>
        <w:tc>
          <w:tcPr>
            <w:tcW w:w="1440" w:type="dxa"/>
            <w:vAlign w:val="center"/>
          </w:tcPr>
          <w:p w:rsidR="00812877" w:rsidRDefault="00812877" w:rsidP="003A3E80">
            <w:pPr>
              <w:jc w:val="center"/>
              <w:rPr>
                <w:rFonts w:ascii="宋体" w:hAnsi="宋体"/>
                <w:color w:val="000000"/>
                <w:sz w:val="24"/>
                <w:szCs w:val="24"/>
              </w:rPr>
            </w:pPr>
            <w:r>
              <w:rPr>
                <w:rFonts w:ascii="宋体" w:hAnsi="宋体" w:hint="eastAsia"/>
                <w:color w:val="000000"/>
                <w:sz w:val="24"/>
                <w:szCs w:val="24"/>
              </w:rPr>
              <w:t>项目</w:t>
            </w:r>
          </w:p>
        </w:tc>
        <w:tc>
          <w:tcPr>
            <w:tcW w:w="6840" w:type="dxa"/>
            <w:vAlign w:val="center"/>
          </w:tcPr>
          <w:p w:rsidR="00812877" w:rsidRDefault="00812877" w:rsidP="003A3E80">
            <w:pPr>
              <w:jc w:val="center"/>
              <w:rPr>
                <w:rFonts w:ascii="宋体" w:hAnsi="宋体"/>
                <w:color w:val="000000"/>
                <w:sz w:val="24"/>
                <w:szCs w:val="24"/>
              </w:rPr>
            </w:pPr>
            <w:r>
              <w:rPr>
                <w:rFonts w:ascii="宋体" w:hAnsi="宋体" w:hint="eastAsia"/>
                <w:color w:val="000000"/>
                <w:sz w:val="24"/>
                <w:szCs w:val="24"/>
              </w:rPr>
              <w:t>考核内容</w:t>
            </w:r>
          </w:p>
        </w:tc>
        <w:tc>
          <w:tcPr>
            <w:tcW w:w="3600" w:type="dxa"/>
            <w:vAlign w:val="center"/>
          </w:tcPr>
          <w:p w:rsidR="00812877" w:rsidRDefault="00812877" w:rsidP="003A3E80">
            <w:pPr>
              <w:jc w:val="center"/>
              <w:rPr>
                <w:rFonts w:ascii="宋体" w:hAnsi="宋体"/>
                <w:color w:val="000000"/>
                <w:w w:val="90"/>
                <w:sz w:val="24"/>
                <w:szCs w:val="24"/>
              </w:rPr>
            </w:pPr>
            <w:r>
              <w:rPr>
                <w:rFonts w:ascii="宋体" w:hAnsi="宋体" w:hint="eastAsia"/>
                <w:color w:val="000000"/>
                <w:w w:val="90"/>
                <w:sz w:val="24"/>
                <w:szCs w:val="24"/>
              </w:rPr>
              <w:t>计分方法</w:t>
            </w:r>
          </w:p>
        </w:tc>
        <w:tc>
          <w:tcPr>
            <w:tcW w:w="900" w:type="dxa"/>
            <w:vAlign w:val="center"/>
          </w:tcPr>
          <w:p w:rsidR="00812877" w:rsidRDefault="00812877" w:rsidP="003A3E80">
            <w:pPr>
              <w:jc w:val="center"/>
              <w:rPr>
                <w:rFonts w:ascii="宋体" w:hAnsi="宋体"/>
                <w:color w:val="000000"/>
                <w:w w:val="90"/>
                <w:sz w:val="24"/>
                <w:szCs w:val="24"/>
              </w:rPr>
            </w:pPr>
            <w:r>
              <w:rPr>
                <w:rFonts w:ascii="宋体" w:hAnsi="宋体" w:hint="eastAsia"/>
                <w:color w:val="000000"/>
                <w:w w:val="90"/>
                <w:sz w:val="24"/>
                <w:szCs w:val="24"/>
              </w:rPr>
              <w:t>自评分</w:t>
            </w:r>
          </w:p>
        </w:tc>
        <w:tc>
          <w:tcPr>
            <w:tcW w:w="900" w:type="dxa"/>
            <w:vAlign w:val="center"/>
          </w:tcPr>
          <w:p w:rsidR="00812877" w:rsidRDefault="00812877" w:rsidP="003A3E80">
            <w:pPr>
              <w:jc w:val="center"/>
              <w:rPr>
                <w:rFonts w:ascii="宋体" w:hAnsi="宋体"/>
                <w:color w:val="000000"/>
                <w:w w:val="90"/>
                <w:sz w:val="24"/>
                <w:szCs w:val="24"/>
              </w:rPr>
            </w:pPr>
            <w:r>
              <w:rPr>
                <w:rFonts w:ascii="宋体" w:hAnsi="宋体" w:hint="eastAsia"/>
                <w:color w:val="000000"/>
                <w:w w:val="90"/>
                <w:sz w:val="24"/>
                <w:szCs w:val="24"/>
              </w:rPr>
              <w:t>考核分</w:t>
            </w:r>
          </w:p>
        </w:tc>
      </w:tr>
      <w:tr w:rsidR="00812877" w:rsidTr="00812877">
        <w:trPr>
          <w:trHeight w:val="1482"/>
        </w:trPr>
        <w:tc>
          <w:tcPr>
            <w:tcW w:w="1260" w:type="dxa"/>
            <w:vMerge w:val="restart"/>
            <w:vAlign w:val="center"/>
          </w:tcPr>
          <w:p w:rsidR="00812877" w:rsidRDefault="00812877" w:rsidP="003A3E80">
            <w:pPr>
              <w:spacing w:line="260" w:lineRule="exact"/>
              <w:rPr>
                <w:rFonts w:ascii="宋体" w:hAnsi="宋体"/>
                <w:color w:val="000000"/>
                <w:sz w:val="24"/>
              </w:rPr>
            </w:pPr>
            <w:r>
              <w:rPr>
                <w:rFonts w:ascii="宋体" w:hAnsi="宋体" w:hint="eastAsia"/>
                <w:color w:val="000000"/>
                <w:sz w:val="24"/>
              </w:rPr>
              <w:t>一、基本情况（20分）</w:t>
            </w:r>
          </w:p>
        </w:tc>
        <w:tc>
          <w:tcPr>
            <w:tcW w:w="1440" w:type="dxa"/>
            <w:vAlign w:val="center"/>
          </w:tcPr>
          <w:p w:rsidR="00812877" w:rsidRDefault="00812877" w:rsidP="003A3E80">
            <w:pPr>
              <w:spacing w:line="260" w:lineRule="exact"/>
              <w:rPr>
                <w:rFonts w:ascii="仿宋_GB2312" w:eastAsia="仿宋_GB2312"/>
                <w:color w:val="000000"/>
                <w:sz w:val="24"/>
              </w:rPr>
            </w:pPr>
            <w:r>
              <w:rPr>
                <w:rFonts w:ascii="仿宋_GB2312" w:eastAsia="仿宋_GB2312" w:hint="eastAsia"/>
                <w:color w:val="000000"/>
                <w:sz w:val="24"/>
              </w:rPr>
              <w:t>1、律师事务所基本建设情况（8分）</w:t>
            </w:r>
          </w:p>
        </w:tc>
        <w:tc>
          <w:tcPr>
            <w:tcW w:w="6840" w:type="dxa"/>
            <w:vAlign w:val="center"/>
          </w:tcPr>
          <w:p w:rsidR="00812877" w:rsidRDefault="00812877" w:rsidP="003A3E80">
            <w:pPr>
              <w:spacing w:line="260" w:lineRule="exact"/>
              <w:ind w:firstLineChars="200" w:firstLine="480"/>
              <w:rPr>
                <w:rFonts w:ascii="仿宋_GB2312" w:eastAsia="仿宋_GB2312"/>
                <w:color w:val="000000"/>
                <w:sz w:val="24"/>
              </w:rPr>
            </w:pPr>
            <w:r>
              <w:rPr>
                <w:rFonts w:ascii="仿宋_GB2312" w:eastAsia="仿宋_GB2312" w:hint="eastAsia"/>
                <w:color w:val="000000"/>
                <w:sz w:val="24"/>
              </w:rPr>
              <w:t>律师事务所的办公场所与律师职业的性质相称，办公条件能够满足服务的要求，没有私自设立分支机构或者办公场所的情形（4分）；在显著位置悬挂本所执业许可证、税务登记证，公示律师服务收费管理实施办法和标准，公示本所律师相关信息、业务办理流程，公示投诉电话、律师职业道德和执业纪律等（4分）。</w:t>
            </w:r>
          </w:p>
        </w:tc>
        <w:tc>
          <w:tcPr>
            <w:tcW w:w="3600" w:type="dxa"/>
            <w:vAlign w:val="center"/>
          </w:tcPr>
          <w:p w:rsidR="00812877" w:rsidRDefault="00812877" w:rsidP="003A3E80">
            <w:pPr>
              <w:spacing w:line="260" w:lineRule="exact"/>
              <w:ind w:firstLineChars="200" w:firstLine="480"/>
              <w:jc w:val="left"/>
              <w:rPr>
                <w:rFonts w:ascii="仿宋_GB2312" w:eastAsia="仿宋_GB2312"/>
                <w:color w:val="000000"/>
                <w:sz w:val="24"/>
              </w:rPr>
            </w:pPr>
            <w:r>
              <w:rPr>
                <w:rFonts w:ascii="仿宋_GB2312" w:eastAsia="仿宋_GB2312" w:hAnsi="宋体" w:cs="宋体" w:hint="eastAsia"/>
                <w:color w:val="000000"/>
                <w:kern w:val="0"/>
                <w:sz w:val="24"/>
              </w:rPr>
              <w:t>按项计分。其中，有一项内容未公示的扣</w:t>
            </w:r>
            <w:r>
              <w:rPr>
                <w:rFonts w:ascii="仿宋_GB2312" w:eastAsia="仿宋_GB2312" w:hint="eastAsia"/>
                <w:color w:val="000000"/>
                <w:sz w:val="24"/>
              </w:rPr>
              <w:t>0.5分。</w:t>
            </w:r>
          </w:p>
        </w:tc>
        <w:tc>
          <w:tcPr>
            <w:tcW w:w="900" w:type="dxa"/>
            <w:vAlign w:val="center"/>
          </w:tcPr>
          <w:p w:rsidR="00812877" w:rsidRDefault="00812877" w:rsidP="003A3E80">
            <w:pPr>
              <w:spacing w:line="260" w:lineRule="exact"/>
              <w:jc w:val="center"/>
              <w:rPr>
                <w:rFonts w:ascii="仿宋_GB2312" w:eastAsia="仿宋_GB2312"/>
                <w:color w:val="000000"/>
                <w:sz w:val="44"/>
                <w:szCs w:val="44"/>
              </w:rPr>
            </w:pPr>
          </w:p>
        </w:tc>
        <w:tc>
          <w:tcPr>
            <w:tcW w:w="900" w:type="dxa"/>
            <w:vAlign w:val="center"/>
          </w:tcPr>
          <w:p w:rsidR="00812877" w:rsidRDefault="00812877" w:rsidP="003A3E80">
            <w:pPr>
              <w:spacing w:line="260" w:lineRule="exact"/>
              <w:jc w:val="center"/>
              <w:rPr>
                <w:rFonts w:ascii="仿宋_GB2312" w:eastAsia="仿宋_GB2312"/>
                <w:color w:val="000000"/>
                <w:sz w:val="44"/>
                <w:szCs w:val="44"/>
              </w:rPr>
            </w:pPr>
          </w:p>
        </w:tc>
      </w:tr>
      <w:tr w:rsidR="00812877" w:rsidTr="00812877">
        <w:trPr>
          <w:trHeight w:val="836"/>
        </w:trPr>
        <w:tc>
          <w:tcPr>
            <w:tcW w:w="1260" w:type="dxa"/>
            <w:vMerge/>
            <w:vAlign w:val="center"/>
          </w:tcPr>
          <w:p w:rsidR="00812877" w:rsidRDefault="00812877" w:rsidP="003A3E80">
            <w:pPr>
              <w:spacing w:line="260" w:lineRule="exact"/>
              <w:rPr>
                <w:rFonts w:ascii="宋体" w:hAnsi="宋体"/>
                <w:color w:val="000000"/>
                <w:sz w:val="24"/>
              </w:rPr>
            </w:pPr>
          </w:p>
        </w:tc>
        <w:tc>
          <w:tcPr>
            <w:tcW w:w="1440" w:type="dxa"/>
            <w:vAlign w:val="center"/>
          </w:tcPr>
          <w:p w:rsidR="00812877" w:rsidRDefault="00812877" w:rsidP="003A3E80">
            <w:pPr>
              <w:spacing w:line="260" w:lineRule="exact"/>
              <w:rPr>
                <w:rFonts w:ascii="仿宋_GB2312" w:eastAsia="仿宋_GB2312"/>
                <w:color w:val="000000"/>
                <w:sz w:val="24"/>
              </w:rPr>
            </w:pPr>
            <w:r>
              <w:rPr>
                <w:rFonts w:ascii="仿宋_GB2312" w:eastAsia="仿宋_GB2312" w:hint="eastAsia"/>
                <w:color w:val="000000"/>
                <w:sz w:val="24"/>
              </w:rPr>
              <w:t>2、日常管理情况（12分）</w:t>
            </w:r>
          </w:p>
        </w:tc>
        <w:tc>
          <w:tcPr>
            <w:tcW w:w="6840" w:type="dxa"/>
            <w:vAlign w:val="center"/>
          </w:tcPr>
          <w:p w:rsidR="00812877" w:rsidRDefault="00812877" w:rsidP="003A3E80">
            <w:pPr>
              <w:spacing w:line="260" w:lineRule="exact"/>
              <w:ind w:firstLineChars="200" w:firstLine="480"/>
              <w:rPr>
                <w:rFonts w:ascii="仿宋_GB2312" w:eastAsia="仿宋_GB2312"/>
                <w:color w:val="000000"/>
                <w:sz w:val="24"/>
              </w:rPr>
            </w:pPr>
            <w:r>
              <w:rPr>
                <w:rFonts w:ascii="仿宋_GB2312" w:eastAsia="仿宋_GB2312" w:hAnsi="宋体" w:cs="宋体" w:hint="eastAsia"/>
                <w:color w:val="000000"/>
                <w:sz w:val="24"/>
              </w:rPr>
              <w:t>能够按照《律师法》和《律师事务所管理办法》的规定变更名称、负责人、章程、合伙协议、合伙人、住所、分所派驻律师等事项。</w:t>
            </w:r>
          </w:p>
        </w:tc>
        <w:tc>
          <w:tcPr>
            <w:tcW w:w="3600" w:type="dxa"/>
            <w:vAlign w:val="center"/>
          </w:tcPr>
          <w:p w:rsidR="00812877" w:rsidRDefault="00812877" w:rsidP="003A3E80">
            <w:pPr>
              <w:spacing w:line="260" w:lineRule="exact"/>
              <w:ind w:firstLineChars="200" w:firstLine="480"/>
              <w:jc w:val="left"/>
              <w:rPr>
                <w:rFonts w:ascii="仿宋_GB2312" w:eastAsia="仿宋_GB2312"/>
                <w:color w:val="000000"/>
                <w:sz w:val="24"/>
              </w:rPr>
            </w:pPr>
            <w:r>
              <w:rPr>
                <w:rFonts w:ascii="仿宋_GB2312" w:eastAsia="仿宋_GB2312" w:hAnsi="宋体" w:cs="宋体" w:hint="eastAsia"/>
                <w:color w:val="000000"/>
                <w:kern w:val="0"/>
                <w:sz w:val="24"/>
              </w:rPr>
              <w:t>按项次计分。每有一项</w:t>
            </w:r>
            <w:proofErr w:type="gramStart"/>
            <w:r>
              <w:rPr>
                <w:rFonts w:ascii="仿宋_GB2312" w:eastAsia="仿宋_GB2312" w:hAnsi="宋体" w:cs="宋体" w:hint="eastAsia"/>
                <w:color w:val="000000"/>
                <w:kern w:val="0"/>
                <w:sz w:val="24"/>
              </w:rPr>
              <w:t>次内容</w:t>
            </w:r>
            <w:proofErr w:type="gramEnd"/>
            <w:r>
              <w:rPr>
                <w:rFonts w:ascii="仿宋_GB2312" w:eastAsia="仿宋_GB2312" w:hAnsi="宋体" w:cs="宋体" w:hint="eastAsia"/>
                <w:color w:val="000000"/>
                <w:kern w:val="0"/>
                <w:sz w:val="24"/>
              </w:rPr>
              <w:t>未按规定办理的扣1</w:t>
            </w:r>
            <w:r>
              <w:rPr>
                <w:rFonts w:ascii="仿宋_GB2312" w:eastAsia="仿宋_GB2312" w:hint="eastAsia"/>
                <w:color w:val="000000"/>
                <w:sz w:val="24"/>
              </w:rPr>
              <w:t>分。</w:t>
            </w:r>
          </w:p>
        </w:tc>
        <w:tc>
          <w:tcPr>
            <w:tcW w:w="900" w:type="dxa"/>
            <w:vAlign w:val="center"/>
          </w:tcPr>
          <w:p w:rsidR="00812877" w:rsidRDefault="00812877" w:rsidP="003A3E80">
            <w:pPr>
              <w:spacing w:line="260" w:lineRule="exact"/>
              <w:jc w:val="center"/>
              <w:rPr>
                <w:rFonts w:ascii="仿宋_GB2312" w:eastAsia="仿宋_GB2312"/>
                <w:color w:val="000000"/>
                <w:sz w:val="44"/>
                <w:szCs w:val="44"/>
              </w:rPr>
            </w:pPr>
          </w:p>
        </w:tc>
        <w:tc>
          <w:tcPr>
            <w:tcW w:w="900" w:type="dxa"/>
            <w:vAlign w:val="center"/>
          </w:tcPr>
          <w:p w:rsidR="00812877" w:rsidRDefault="00812877" w:rsidP="003A3E80">
            <w:pPr>
              <w:spacing w:line="260" w:lineRule="exact"/>
              <w:jc w:val="center"/>
              <w:rPr>
                <w:rFonts w:ascii="仿宋_GB2312" w:eastAsia="仿宋_GB2312"/>
                <w:color w:val="000000"/>
                <w:sz w:val="44"/>
                <w:szCs w:val="44"/>
              </w:rPr>
            </w:pPr>
          </w:p>
        </w:tc>
      </w:tr>
      <w:tr w:rsidR="00812877" w:rsidTr="00812877">
        <w:trPr>
          <w:trHeight w:val="707"/>
        </w:trPr>
        <w:tc>
          <w:tcPr>
            <w:tcW w:w="1260" w:type="dxa"/>
            <w:vMerge w:val="restart"/>
            <w:vAlign w:val="center"/>
          </w:tcPr>
          <w:p w:rsidR="00812877" w:rsidRDefault="00812877" w:rsidP="003A3E80">
            <w:pPr>
              <w:spacing w:line="260" w:lineRule="exact"/>
              <w:rPr>
                <w:rFonts w:ascii="宋体" w:hAnsi="宋体"/>
                <w:color w:val="000000"/>
                <w:sz w:val="24"/>
              </w:rPr>
            </w:pPr>
            <w:r>
              <w:rPr>
                <w:rFonts w:ascii="宋体" w:hAnsi="宋体" w:hint="eastAsia"/>
                <w:color w:val="000000"/>
                <w:sz w:val="24"/>
              </w:rPr>
              <w:t>二、律师队伍建设（15分）</w:t>
            </w:r>
          </w:p>
          <w:p w:rsidR="00812877" w:rsidRDefault="00812877" w:rsidP="003A3E80">
            <w:pPr>
              <w:spacing w:line="260" w:lineRule="exact"/>
              <w:rPr>
                <w:rFonts w:ascii="宋体" w:hAnsi="宋体"/>
                <w:color w:val="000000"/>
                <w:sz w:val="24"/>
              </w:rPr>
            </w:pPr>
          </w:p>
        </w:tc>
        <w:tc>
          <w:tcPr>
            <w:tcW w:w="1440" w:type="dxa"/>
            <w:vAlign w:val="center"/>
          </w:tcPr>
          <w:p w:rsidR="00812877" w:rsidRDefault="00812877" w:rsidP="003A3E80">
            <w:pPr>
              <w:spacing w:line="260" w:lineRule="exact"/>
              <w:rPr>
                <w:rFonts w:ascii="仿宋_GB2312" w:eastAsia="仿宋_GB2312"/>
                <w:color w:val="000000"/>
                <w:sz w:val="24"/>
              </w:rPr>
            </w:pPr>
            <w:r>
              <w:rPr>
                <w:rFonts w:ascii="仿宋_GB2312" w:eastAsia="仿宋_GB2312" w:hint="eastAsia"/>
                <w:color w:val="000000"/>
                <w:sz w:val="24"/>
              </w:rPr>
              <w:t>3、执业律师管理情况（1分）</w:t>
            </w:r>
          </w:p>
        </w:tc>
        <w:tc>
          <w:tcPr>
            <w:tcW w:w="6840" w:type="dxa"/>
            <w:vAlign w:val="center"/>
          </w:tcPr>
          <w:p w:rsidR="00812877" w:rsidRDefault="00812877" w:rsidP="003A3E80">
            <w:pPr>
              <w:spacing w:line="260" w:lineRule="exact"/>
              <w:ind w:firstLineChars="200" w:firstLine="480"/>
              <w:rPr>
                <w:rFonts w:ascii="仿宋_GB2312" w:eastAsia="仿宋_GB2312"/>
                <w:color w:val="000000"/>
                <w:sz w:val="24"/>
              </w:rPr>
            </w:pPr>
            <w:r>
              <w:rPr>
                <w:rFonts w:ascii="仿宋_GB2312" w:eastAsia="仿宋_GB2312" w:hint="eastAsia"/>
                <w:color w:val="000000"/>
                <w:sz w:val="24"/>
              </w:rPr>
              <w:t>能够及时为律师办理转所手续，并能及时收回并按规定上交转所、注销的律师执业证书（1分）。</w:t>
            </w:r>
          </w:p>
        </w:tc>
        <w:tc>
          <w:tcPr>
            <w:tcW w:w="3600" w:type="dxa"/>
            <w:vAlign w:val="center"/>
          </w:tcPr>
          <w:p w:rsidR="00812877" w:rsidRDefault="00812877" w:rsidP="003A3E80">
            <w:pPr>
              <w:spacing w:line="260" w:lineRule="exact"/>
              <w:ind w:firstLineChars="200" w:firstLine="480"/>
              <w:jc w:val="left"/>
              <w:rPr>
                <w:rFonts w:ascii="仿宋_GB2312" w:eastAsia="仿宋_GB2312"/>
                <w:color w:val="000000"/>
                <w:sz w:val="24"/>
              </w:rPr>
            </w:pPr>
            <w:r>
              <w:rPr>
                <w:rFonts w:ascii="仿宋_GB2312" w:eastAsia="仿宋_GB2312" w:hint="eastAsia"/>
                <w:color w:val="000000"/>
                <w:sz w:val="24"/>
              </w:rPr>
              <w:t>每有一人次未及时收回或未按规定上交的扣0.1分。</w:t>
            </w:r>
          </w:p>
        </w:tc>
        <w:tc>
          <w:tcPr>
            <w:tcW w:w="900" w:type="dxa"/>
            <w:vAlign w:val="center"/>
          </w:tcPr>
          <w:p w:rsidR="00812877" w:rsidRDefault="00812877" w:rsidP="003A3E80">
            <w:pPr>
              <w:spacing w:line="260" w:lineRule="exact"/>
              <w:jc w:val="center"/>
              <w:rPr>
                <w:rFonts w:ascii="仿宋_GB2312" w:eastAsia="仿宋_GB2312"/>
                <w:color w:val="000000"/>
                <w:sz w:val="44"/>
                <w:szCs w:val="44"/>
              </w:rPr>
            </w:pPr>
          </w:p>
        </w:tc>
        <w:tc>
          <w:tcPr>
            <w:tcW w:w="900" w:type="dxa"/>
            <w:vAlign w:val="center"/>
          </w:tcPr>
          <w:p w:rsidR="00812877" w:rsidRDefault="00812877" w:rsidP="003A3E80">
            <w:pPr>
              <w:spacing w:line="260" w:lineRule="exact"/>
              <w:jc w:val="center"/>
              <w:rPr>
                <w:rFonts w:ascii="仿宋_GB2312" w:eastAsia="仿宋_GB2312"/>
                <w:color w:val="000000"/>
                <w:sz w:val="44"/>
                <w:szCs w:val="44"/>
              </w:rPr>
            </w:pPr>
          </w:p>
        </w:tc>
      </w:tr>
      <w:tr w:rsidR="00812877" w:rsidTr="00812877">
        <w:trPr>
          <w:trHeight w:val="902"/>
        </w:trPr>
        <w:tc>
          <w:tcPr>
            <w:tcW w:w="1260" w:type="dxa"/>
            <w:vMerge/>
            <w:vAlign w:val="center"/>
          </w:tcPr>
          <w:p w:rsidR="00812877" w:rsidRDefault="00812877" w:rsidP="003A3E80">
            <w:pPr>
              <w:spacing w:line="260" w:lineRule="exact"/>
              <w:rPr>
                <w:rFonts w:ascii="宋体" w:hAnsi="宋体"/>
                <w:color w:val="000000"/>
                <w:sz w:val="24"/>
              </w:rPr>
            </w:pPr>
          </w:p>
        </w:tc>
        <w:tc>
          <w:tcPr>
            <w:tcW w:w="1440" w:type="dxa"/>
            <w:vAlign w:val="center"/>
          </w:tcPr>
          <w:p w:rsidR="00812877" w:rsidRDefault="00812877" w:rsidP="003A3E80">
            <w:pPr>
              <w:spacing w:line="260" w:lineRule="exact"/>
              <w:rPr>
                <w:rFonts w:ascii="仿宋_GB2312" w:eastAsia="仿宋_GB2312"/>
                <w:color w:val="000000"/>
                <w:sz w:val="24"/>
              </w:rPr>
            </w:pPr>
            <w:r>
              <w:rPr>
                <w:rFonts w:ascii="仿宋_GB2312" w:eastAsia="仿宋_GB2312" w:hint="eastAsia"/>
                <w:color w:val="000000"/>
                <w:sz w:val="24"/>
              </w:rPr>
              <w:t>4、政治和职业道德教育情况（2分）</w:t>
            </w:r>
          </w:p>
        </w:tc>
        <w:tc>
          <w:tcPr>
            <w:tcW w:w="6840" w:type="dxa"/>
            <w:vAlign w:val="center"/>
          </w:tcPr>
          <w:p w:rsidR="00812877" w:rsidRDefault="00812877" w:rsidP="003A3E80">
            <w:pPr>
              <w:spacing w:line="260" w:lineRule="exact"/>
              <w:ind w:firstLineChars="200" w:firstLine="480"/>
              <w:rPr>
                <w:rFonts w:ascii="仿宋_GB2312" w:eastAsia="仿宋_GB2312"/>
                <w:color w:val="000000"/>
                <w:sz w:val="24"/>
              </w:rPr>
            </w:pPr>
            <w:r>
              <w:rPr>
                <w:rFonts w:ascii="仿宋_GB2312" w:eastAsia="仿宋_GB2312" w:hint="eastAsia"/>
                <w:color w:val="000000"/>
                <w:sz w:val="24"/>
              </w:rPr>
              <w:t>建立政治思想教育机制，年度内集体政治学习至少4次以上，并有学习记录（1分）；年度内至少组织本所律师开展一次律师职业道德和执业纪律评查活动，并有评查档案（1分）。</w:t>
            </w:r>
          </w:p>
        </w:tc>
        <w:tc>
          <w:tcPr>
            <w:tcW w:w="3600" w:type="dxa"/>
            <w:vAlign w:val="center"/>
          </w:tcPr>
          <w:p w:rsidR="00812877" w:rsidRDefault="00812877" w:rsidP="003A3E80">
            <w:pPr>
              <w:spacing w:line="260" w:lineRule="exact"/>
              <w:ind w:firstLineChars="200" w:firstLine="480"/>
              <w:rPr>
                <w:rFonts w:ascii="仿宋_GB2312" w:eastAsia="仿宋_GB2312" w:hAnsi="宋体" w:cs="宋体"/>
                <w:color w:val="000000"/>
                <w:kern w:val="0"/>
                <w:sz w:val="24"/>
              </w:rPr>
            </w:pPr>
            <w:r>
              <w:rPr>
                <w:rFonts w:ascii="仿宋_GB2312" w:eastAsia="仿宋_GB2312" w:hAnsi="宋体" w:cs="宋体" w:hint="eastAsia"/>
                <w:color w:val="000000"/>
                <w:kern w:val="0"/>
                <w:sz w:val="24"/>
              </w:rPr>
              <w:t>按项计分。其中，集体政治学习每少一次扣0.5分。</w:t>
            </w:r>
          </w:p>
        </w:tc>
        <w:tc>
          <w:tcPr>
            <w:tcW w:w="900" w:type="dxa"/>
            <w:vAlign w:val="center"/>
          </w:tcPr>
          <w:p w:rsidR="00812877" w:rsidRDefault="00812877" w:rsidP="003A3E80">
            <w:pPr>
              <w:spacing w:line="260" w:lineRule="exact"/>
              <w:jc w:val="center"/>
              <w:rPr>
                <w:rFonts w:ascii="仿宋_GB2312" w:eastAsia="仿宋_GB2312"/>
                <w:color w:val="000000"/>
                <w:sz w:val="44"/>
                <w:szCs w:val="44"/>
              </w:rPr>
            </w:pPr>
          </w:p>
        </w:tc>
        <w:tc>
          <w:tcPr>
            <w:tcW w:w="900" w:type="dxa"/>
            <w:vAlign w:val="center"/>
          </w:tcPr>
          <w:p w:rsidR="00812877" w:rsidRDefault="00812877" w:rsidP="003A3E80">
            <w:pPr>
              <w:spacing w:line="260" w:lineRule="exact"/>
              <w:jc w:val="center"/>
              <w:rPr>
                <w:rFonts w:ascii="仿宋_GB2312" w:eastAsia="仿宋_GB2312"/>
                <w:color w:val="000000"/>
                <w:sz w:val="44"/>
                <w:szCs w:val="44"/>
              </w:rPr>
            </w:pPr>
          </w:p>
        </w:tc>
      </w:tr>
      <w:tr w:rsidR="00812877" w:rsidTr="00812877">
        <w:trPr>
          <w:trHeight w:val="986"/>
        </w:trPr>
        <w:tc>
          <w:tcPr>
            <w:tcW w:w="1260" w:type="dxa"/>
            <w:vMerge/>
            <w:vAlign w:val="center"/>
          </w:tcPr>
          <w:p w:rsidR="00812877" w:rsidRDefault="00812877" w:rsidP="003A3E80">
            <w:pPr>
              <w:spacing w:line="260" w:lineRule="exact"/>
              <w:rPr>
                <w:rFonts w:ascii="宋体" w:hAnsi="宋体"/>
                <w:color w:val="000000"/>
                <w:sz w:val="24"/>
              </w:rPr>
            </w:pPr>
          </w:p>
        </w:tc>
        <w:tc>
          <w:tcPr>
            <w:tcW w:w="1440" w:type="dxa"/>
            <w:vAlign w:val="center"/>
          </w:tcPr>
          <w:p w:rsidR="00812877" w:rsidRDefault="00812877" w:rsidP="003A3E80">
            <w:pPr>
              <w:spacing w:line="260" w:lineRule="exact"/>
              <w:rPr>
                <w:rFonts w:ascii="仿宋_GB2312" w:eastAsia="仿宋_GB2312"/>
                <w:color w:val="000000"/>
                <w:sz w:val="24"/>
              </w:rPr>
            </w:pPr>
            <w:r>
              <w:rPr>
                <w:rFonts w:ascii="仿宋_GB2312" w:eastAsia="仿宋_GB2312" w:hint="eastAsia"/>
                <w:color w:val="000000"/>
                <w:sz w:val="24"/>
              </w:rPr>
              <w:t>5、业务学习和职业培训情况（2分）</w:t>
            </w:r>
          </w:p>
        </w:tc>
        <w:tc>
          <w:tcPr>
            <w:tcW w:w="6840" w:type="dxa"/>
            <w:vAlign w:val="center"/>
          </w:tcPr>
          <w:p w:rsidR="00812877" w:rsidRDefault="00812877" w:rsidP="003A3E80">
            <w:pPr>
              <w:spacing w:line="260" w:lineRule="exact"/>
              <w:ind w:firstLineChars="200" w:firstLine="480"/>
              <w:rPr>
                <w:rFonts w:ascii="仿宋_GB2312" w:eastAsia="仿宋_GB2312"/>
                <w:color w:val="000000"/>
                <w:sz w:val="24"/>
              </w:rPr>
            </w:pPr>
            <w:r>
              <w:rPr>
                <w:rFonts w:ascii="仿宋_GB2312" w:eastAsia="仿宋_GB2312" w:hint="eastAsia"/>
                <w:color w:val="000000"/>
                <w:sz w:val="24"/>
              </w:rPr>
              <w:t>积极参加主管司法行政机关和律师协会组织的业务培训，年度内本所律师完成</w:t>
            </w:r>
            <w:proofErr w:type="gramStart"/>
            <w:r>
              <w:rPr>
                <w:rFonts w:ascii="仿宋_GB2312" w:eastAsia="仿宋_GB2312" w:hint="eastAsia"/>
                <w:color w:val="000000"/>
                <w:sz w:val="24"/>
              </w:rPr>
              <w:t>点睛网律师</w:t>
            </w:r>
            <w:proofErr w:type="gramEnd"/>
            <w:r>
              <w:rPr>
                <w:rFonts w:ascii="仿宋_GB2312" w:eastAsia="仿宋_GB2312" w:hint="eastAsia"/>
                <w:color w:val="000000"/>
                <w:sz w:val="24"/>
              </w:rPr>
              <w:t>学院60课时以上的学习任务（1分）；出资组织本所律师参加2次以上外出培训学习（1分）。</w:t>
            </w:r>
          </w:p>
        </w:tc>
        <w:tc>
          <w:tcPr>
            <w:tcW w:w="3600" w:type="dxa"/>
            <w:vAlign w:val="center"/>
          </w:tcPr>
          <w:p w:rsidR="00812877" w:rsidRDefault="00812877" w:rsidP="003A3E80">
            <w:pPr>
              <w:spacing w:line="260" w:lineRule="exact"/>
              <w:ind w:firstLineChars="200" w:firstLine="480"/>
              <w:jc w:val="left"/>
              <w:rPr>
                <w:color w:val="000000"/>
              </w:rPr>
            </w:pPr>
            <w:r>
              <w:rPr>
                <w:rFonts w:ascii="仿宋_GB2312" w:eastAsia="仿宋_GB2312" w:hAnsi="宋体" w:cs="宋体" w:hint="eastAsia"/>
                <w:color w:val="000000"/>
                <w:kern w:val="0"/>
                <w:sz w:val="24"/>
              </w:rPr>
              <w:t>按项计分。其中，每有一名律师完不成</w:t>
            </w:r>
            <w:proofErr w:type="gramStart"/>
            <w:r>
              <w:rPr>
                <w:rFonts w:ascii="仿宋_GB2312" w:eastAsia="仿宋_GB2312" w:hAnsi="宋体" w:cs="宋体" w:hint="eastAsia"/>
                <w:color w:val="000000"/>
                <w:kern w:val="0"/>
                <w:sz w:val="24"/>
              </w:rPr>
              <w:t>点睛网</w:t>
            </w:r>
            <w:proofErr w:type="gramEnd"/>
            <w:r>
              <w:rPr>
                <w:rFonts w:ascii="仿宋_GB2312" w:eastAsia="仿宋_GB2312" w:hAnsi="宋体" w:cs="宋体" w:hint="eastAsia"/>
                <w:color w:val="000000"/>
                <w:kern w:val="0"/>
                <w:sz w:val="24"/>
              </w:rPr>
              <w:t>60课时学习任务的扣0.2分。</w:t>
            </w:r>
          </w:p>
        </w:tc>
        <w:tc>
          <w:tcPr>
            <w:tcW w:w="900" w:type="dxa"/>
            <w:vAlign w:val="center"/>
          </w:tcPr>
          <w:p w:rsidR="00812877" w:rsidRDefault="00812877" w:rsidP="003A3E80">
            <w:pPr>
              <w:spacing w:line="260" w:lineRule="exact"/>
              <w:jc w:val="center"/>
              <w:rPr>
                <w:rFonts w:ascii="仿宋_GB2312" w:eastAsia="仿宋_GB2312"/>
                <w:color w:val="000000"/>
                <w:sz w:val="44"/>
                <w:szCs w:val="44"/>
              </w:rPr>
            </w:pPr>
          </w:p>
        </w:tc>
        <w:tc>
          <w:tcPr>
            <w:tcW w:w="900" w:type="dxa"/>
            <w:vAlign w:val="center"/>
          </w:tcPr>
          <w:p w:rsidR="00812877" w:rsidRDefault="00812877" w:rsidP="003A3E80">
            <w:pPr>
              <w:spacing w:line="260" w:lineRule="exact"/>
              <w:jc w:val="center"/>
              <w:rPr>
                <w:rFonts w:ascii="仿宋_GB2312" w:eastAsia="仿宋_GB2312"/>
                <w:color w:val="000000"/>
                <w:sz w:val="44"/>
                <w:szCs w:val="44"/>
              </w:rPr>
            </w:pPr>
          </w:p>
        </w:tc>
      </w:tr>
      <w:tr w:rsidR="00812877" w:rsidTr="00812877">
        <w:trPr>
          <w:trHeight w:val="845"/>
        </w:trPr>
        <w:tc>
          <w:tcPr>
            <w:tcW w:w="1260" w:type="dxa"/>
            <w:vMerge/>
            <w:vAlign w:val="center"/>
          </w:tcPr>
          <w:p w:rsidR="00812877" w:rsidRDefault="00812877" w:rsidP="003A3E80">
            <w:pPr>
              <w:spacing w:line="260" w:lineRule="exact"/>
              <w:rPr>
                <w:rFonts w:ascii="宋体" w:hAnsi="宋体"/>
                <w:color w:val="000000"/>
                <w:sz w:val="24"/>
              </w:rPr>
            </w:pPr>
          </w:p>
        </w:tc>
        <w:tc>
          <w:tcPr>
            <w:tcW w:w="1440" w:type="dxa"/>
            <w:vAlign w:val="center"/>
          </w:tcPr>
          <w:p w:rsidR="00812877" w:rsidRDefault="00812877" w:rsidP="003A3E80">
            <w:pPr>
              <w:spacing w:line="260" w:lineRule="exact"/>
              <w:rPr>
                <w:rFonts w:ascii="仿宋_GB2312" w:eastAsia="仿宋_GB2312"/>
                <w:color w:val="000000"/>
                <w:sz w:val="24"/>
              </w:rPr>
            </w:pPr>
            <w:r>
              <w:rPr>
                <w:rFonts w:ascii="仿宋_GB2312" w:eastAsia="仿宋_GB2312" w:hint="eastAsia"/>
                <w:color w:val="000000"/>
                <w:sz w:val="24"/>
              </w:rPr>
              <w:t>6、律师年度考核情况（2分）</w:t>
            </w:r>
          </w:p>
        </w:tc>
        <w:tc>
          <w:tcPr>
            <w:tcW w:w="6840" w:type="dxa"/>
            <w:vAlign w:val="center"/>
          </w:tcPr>
          <w:p w:rsidR="00812877" w:rsidRDefault="00812877" w:rsidP="003A3E80">
            <w:pPr>
              <w:spacing w:line="260" w:lineRule="exact"/>
              <w:ind w:firstLineChars="200" w:firstLine="480"/>
              <w:rPr>
                <w:rFonts w:ascii="仿宋_GB2312" w:eastAsia="仿宋_GB2312"/>
                <w:color w:val="000000"/>
                <w:sz w:val="24"/>
              </w:rPr>
            </w:pPr>
            <w:r>
              <w:rPr>
                <w:rFonts w:ascii="仿宋_GB2312" w:eastAsia="仿宋_GB2312" w:hint="eastAsia"/>
                <w:color w:val="000000"/>
                <w:sz w:val="24"/>
              </w:rPr>
              <w:t>成立本所律师年度考核工作小组（1分）；制定相应的年度考核办法，并规范有序开展考核工作，实事求是评定考核等次（1分）。</w:t>
            </w:r>
          </w:p>
        </w:tc>
        <w:tc>
          <w:tcPr>
            <w:tcW w:w="3600" w:type="dxa"/>
            <w:vAlign w:val="center"/>
          </w:tcPr>
          <w:p w:rsidR="00812877" w:rsidRDefault="00812877" w:rsidP="003A3E80">
            <w:pPr>
              <w:spacing w:line="260" w:lineRule="exact"/>
              <w:ind w:firstLineChars="200" w:firstLine="480"/>
              <w:jc w:val="left"/>
              <w:rPr>
                <w:rFonts w:ascii="仿宋_GB2312" w:eastAsia="仿宋_GB2312"/>
                <w:color w:val="000000"/>
                <w:sz w:val="24"/>
              </w:rPr>
            </w:pPr>
            <w:r>
              <w:rPr>
                <w:rFonts w:ascii="仿宋_GB2312" w:eastAsia="仿宋_GB2312" w:hint="eastAsia"/>
                <w:color w:val="000000"/>
                <w:sz w:val="24"/>
              </w:rPr>
              <w:t>按项计分。</w:t>
            </w:r>
          </w:p>
        </w:tc>
        <w:tc>
          <w:tcPr>
            <w:tcW w:w="900" w:type="dxa"/>
            <w:vAlign w:val="center"/>
          </w:tcPr>
          <w:p w:rsidR="00812877" w:rsidRDefault="00812877" w:rsidP="003A3E80">
            <w:pPr>
              <w:spacing w:line="260" w:lineRule="exact"/>
              <w:jc w:val="center"/>
              <w:rPr>
                <w:rFonts w:ascii="仿宋_GB2312" w:eastAsia="仿宋_GB2312"/>
                <w:color w:val="000000"/>
                <w:sz w:val="44"/>
                <w:szCs w:val="44"/>
              </w:rPr>
            </w:pPr>
          </w:p>
        </w:tc>
        <w:tc>
          <w:tcPr>
            <w:tcW w:w="900" w:type="dxa"/>
            <w:vAlign w:val="center"/>
          </w:tcPr>
          <w:p w:rsidR="00812877" w:rsidRDefault="00812877" w:rsidP="003A3E80">
            <w:pPr>
              <w:spacing w:line="260" w:lineRule="exact"/>
              <w:jc w:val="center"/>
              <w:rPr>
                <w:rFonts w:ascii="仿宋_GB2312" w:eastAsia="仿宋_GB2312"/>
                <w:color w:val="000000"/>
                <w:sz w:val="44"/>
                <w:szCs w:val="44"/>
              </w:rPr>
            </w:pPr>
          </w:p>
        </w:tc>
      </w:tr>
      <w:tr w:rsidR="00812877" w:rsidTr="003A3E80">
        <w:trPr>
          <w:trHeight w:val="70"/>
        </w:trPr>
        <w:tc>
          <w:tcPr>
            <w:tcW w:w="1260" w:type="dxa"/>
            <w:vMerge/>
            <w:vAlign w:val="center"/>
          </w:tcPr>
          <w:p w:rsidR="00812877" w:rsidRDefault="00812877" w:rsidP="003A3E80">
            <w:pPr>
              <w:spacing w:line="260" w:lineRule="exact"/>
              <w:rPr>
                <w:rFonts w:ascii="宋体" w:hAnsi="宋体"/>
                <w:color w:val="000000"/>
                <w:sz w:val="24"/>
              </w:rPr>
            </w:pPr>
          </w:p>
        </w:tc>
        <w:tc>
          <w:tcPr>
            <w:tcW w:w="1440" w:type="dxa"/>
            <w:vAlign w:val="center"/>
          </w:tcPr>
          <w:p w:rsidR="00812877" w:rsidRDefault="00812877" w:rsidP="003A3E80">
            <w:pPr>
              <w:spacing w:line="260" w:lineRule="exact"/>
              <w:rPr>
                <w:rFonts w:ascii="仿宋_GB2312" w:eastAsia="仿宋_GB2312"/>
                <w:color w:val="000000"/>
                <w:sz w:val="24"/>
              </w:rPr>
            </w:pPr>
            <w:r>
              <w:rPr>
                <w:rFonts w:ascii="仿宋_GB2312" w:eastAsia="仿宋_GB2312" w:hint="eastAsia"/>
                <w:color w:val="000000"/>
                <w:sz w:val="24"/>
              </w:rPr>
              <w:t>7、对律师实施执业监管情况（6分）</w:t>
            </w:r>
          </w:p>
        </w:tc>
        <w:tc>
          <w:tcPr>
            <w:tcW w:w="6840" w:type="dxa"/>
            <w:vAlign w:val="center"/>
          </w:tcPr>
          <w:p w:rsidR="00812877" w:rsidRDefault="00812877" w:rsidP="003A3E80">
            <w:pPr>
              <w:spacing w:line="260" w:lineRule="exact"/>
              <w:ind w:firstLineChars="200" w:firstLine="480"/>
              <w:rPr>
                <w:rFonts w:ascii="仿宋_GB2312" w:eastAsia="仿宋_GB2312"/>
                <w:color w:val="000000"/>
                <w:sz w:val="24"/>
              </w:rPr>
            </w:pPr>
            <w:r>
              <w:rPr>
                <w:rFonts w:ascii="仿宋_GB2312" w:eastAsia="仿宋_GB2312" w:hint="eastAsia"/>
                <w:color w:val="000000"/>
                <w:sz w:val="24"/>
              </w:rPr>
              <w:t>建立质量跟踪考核、反馈制度，有服务质量跟踪卡或回访记录（2分）；制定投诉查处制度和内部惩戒制度，设专人处理投诉（2分）；对本所收到或上级转办的投诉案件，及时查处和答复，并追究责任人的责任（2分）。</w:t>
            </w:r>
          </w:p>
        </w:tc>
        <w:tc>
          <w:tcPr>
            <w:tcW w:w="3600" w:type="dxa"/>
            <w:vAlign w:val="center"/>
          </w:tcPr>
          <w:p w:rsidR="00812877" w:rsidRDefault="00812877" w:rsidP="003A3E80">
            <w:pPr>
              <w:spacing w:line="260" w:lineRule="exact"/>
              <w:ind w:firstLineChars="200" w:firstLine="480"/>
              <w:jc w:val="left"/>
              <w:rPr>
                <w:rFonts w:ascii="仿宋_GB2312" w:eastAsia="仿宋_GB2312"/>
                <w:color w:val="000000"/>
                <w:sz w:val="24"/>
              </w:rPr>
            </w:pPr>
            <w:r>
              <w:rPr>
                <w:rFonts w:ascii="仿宋_GB2312" w:eastAsia="仿宋_GB2312" w:hint="eastAsia"/>
                <w:color w:val="000000"/>
                <w:sz w:val="24"/>
              </w:rPr>
              <w:t>按项计分。其中，有查证属实的投诉案件，每件扣2分，最高扣6分。</w:t>
            </w:r>
          </w:p>
        </w:tc>
        <w:tc>
          <w:tcPr>
            <w:tcW w:w="900" w:type="dxa"/>
            <w:vAlign w:val="center"/>
          </w:tcPr>
          <w:p w:rsidR="00812877" w:rsidRDefault="00812877" w:rsidP="003A3E80">
            <w:pPr>
              <w:spacing w:line="260" w:lineRule="exact"/>
              <w:jc w:val="center"/>
              <w:rPr>
                <w:rFonts w:ascii="仿宋_GB2312" w:eastAsia="仿宋_GB2312"/>
                <w:color w:val="000000"/>
                <w:sz w:val="44"/>
                <w:szCs w:val="44"/>
              </w:rPr>
            </w:pPr>
          </w:p>
        </w:tc>
        <w:tc>
          <w:tcPr>
            <w:tcW w:w="900" w:type="dxa"/>
            <w:vAlign w:val="center"/>
          </w:tcPr>
          <w:p w:rsidR="00812877" w:rsidRDefault="00812877" w:rsidP="003A3E80">
            <w:pPr>
              <w:spacing w:line="260" w:lineRule="exact"/>
              <w:jc w:val="center"/>
              <w:rPr>
                <w:rFonts w:ascii="仿宋_GB2312" w:eastAsia="仿宋_GB2312"/>
                <w:color w:val="000000"/>
                <w:sz w:val="44"/>
                <w:szCs w:val="44"/>
              </w:rPr>
            </w:pPr>
          </w:p>
        </w:tc>
      </w:tr>
      <w:tr w:rsidR="00812877" w:rsidTr="003A3E80">
        <w:trPr>
          <w:trHeight w:val="397"/>
        </w:trPr>
        <w:tc>
          <w:tcPr>
            <w:tcW w:w="1260" w:type="dxa"/>
            <w:vMerge/>
            <w:vAlign w:val="center"/>
          </w:tcPr>
          <w:p w:rsidR="00812877" w:rsidRDefault="00812877" w:rsidP="003A3E80">
            <w:pPr>
              <w:spacing w:line="260" w:lineRule="exact"/>
              <w:rPr>
                <w:rFonts w:ascii="宋体" w:hAnsi="宋体"/>
                <w:color w:val="000000"/>
                <w:sz w:val="24"/>
              </w:rPr>
            </w:pPr>
          </w:p>
        </w:tc>
        <w:tc>
          <w:tcPr>
            <w:tcW w:w="1440" w:type="dxa"/>
          </w:tcPr>
          <w:p w:rsidR="00812877" w:rsidRDefault="00812877" w:rsidP="003A3E80">
            <w:pPr>
              <w:spacing w:line="260" w:lineRule="exact"/>
              <w:rPr>
                <w:rFonts w:ascii="仿宋_GB2312" w:eastAsia="仿宋_GB2312"/>
                <w:color w:val="000000"/>
                <w:sz w:val="24"/>
              </w:rPr>
            </w:pPr>
          </w:p>
          <w:p w:rsidR="00812877" w:rsidRDefault="00812877" w:rsidP="003A3E80">
            <w:pPr>
              <w:spacing w:line="260" w:lineRule="exact"/>
              <w:rPr>
                <w:rFonts w:ascii="仿宋_GB2312" w:eastAsia="仿宋_GB2312"/>
                <w:color w:val="000000"/>
                <w:sz w:val="24"/>
              </w:rPr>
            </w:pPr>
            <w:r>
              <w:rPr>
                <w:rFonts w:ascii="仿宋_GB2312" w:eastAsia="仿宋_GB2312" w:hint="eastAsia"/>
                <w:color w:val="000000"/>
                <w:sz w:val="24"/>
              </w:rPr>
              <w:t>8、</w:t>
            </w:r>
            <w:proofErr w:type="gramStart"/>
            <w:r>
              <w:rPr>
                <w:rFonts w:ascii="仿宋_GB2312" w:eastAsia="仿宋_GB2312" w:hint="eastAsia"/>
                <w:color w:val="000000"/>
                <w:sz w:val="24"/>
              </w:rPr>
              <w:t>律师党建</w:t>
            </w:r>
            <w:proofErr w:type="gramEnd"/>
            <w:r>
              <w:rPr>
                <w:rFonts w:ascii="仿宋_GB2312" w:eastAsia="仿宋_GB2312" w:hint="eastAsia"/>
                <w:color w:val="000000"/>
                <w:sz w:val="24"/>
              </w:rPr>
              <w:t>情况（2分）</w:t>
            </w:r>
          </w:p>
          <w:p w:rsidR="00812877" w:rsidRDefault="00812877" w:rsidP="003A3E80">
            <w:pPr>
              <w:spacing w:line="260" w:lineRule="exact"/>
              <w:rPr>
                <w:rFonts w:ascii="仿宋_GB2312" w:eastAsia="仿宋_GB2312"/>
                <w:color w:val="000000"/>
                <w:sz w:val="24"/>
              </w:rPr>
            </w:pPr>
          </w:p>
        </w:tc>
        <w:tc>
          <w:tcPr>
            <w:tcW w:w="6840" w:type="dxa"/>
            <w:vAlign w:val="center"/>
          </w:tcPr>
          <w:p w:rsidR="00812877" w:rsidRDefault="00812877" w:rsidP="003A3E80">
            <w:pPr>
              <w:spacing w:line="260" w:lineRule="exact"/>
              <w:ind w:firstLineChars="200" w:firstLine="480"/>
              <w:rPr>
                <w:rFonts w:ascii="仿宋_GB2312" w:eastAsia="仿宋_GB2312"/>
                <w:color w:val="000000"/>
                <w:sz w:val="24"/>
              </w:rPr>
            </w:pPr>
            <w:r>
              <w:rPr>
                <w:rFonts w:ascii="仿宋_GB2312" w:eastAsia="仿宋_GB2312" w:hint="eastAsia"/>
                <w:color w:val="000000"/>
                <w:sz w:val="24"/>
              </w:rPr>
              <w:t>有3名以上党员的建立党支部，党员人数不足的建立联合党支部，或参加主管司法行政机关党支部，并及时接转所属律师党员的组织关系（1分），党组织工作制度健全，认真落实“三会一课”制度，有会议记录、党课笔记，年度内党组织开展2次以上活动（1分）。</w:t>
            </w:r>
          </w:p>
        </w:tc>
        <w:tc>
          <w:tcPr>
            <w:tcW w:w="3600" w:type="dxa"/>
            <w:vAlign w:val="center"/>
          </w:tcPr>
          <w:p w:rsidR="00812877" w:rsidRDefault="00812877" w:rsidP="003A3E80">
            <w:pPr>
              <w:spacing w:line="260" w:lineRule="exact"/>
              <w:ind w:firstLineChars="200" w:firstLine="480"/>
              <w:jc w:val="left"/>
              <w:rPr>
                <w:rFonts w:ascii="仿宋_GB2312" w:eastAsia="仿宋_GB2312"/>
                <w:color w:val="000000"/>
                <w:sz w:val="24"/>
              </w:rPr>
            </w:pPr>
            <w:r>
              <w:rPr>
                <w:rFonts w:ascii="仿宋_GB2312" w:eastAsia="仿宋_GB2312" w:hint="eastAsia"/>
                <w:color w:val="000000"/>
                <w:sz w:val="24"/>
              </w:rPr>
              <w:t>按项计分。无党员的，或不符合建立条件的，所对应的项目为零分。</w:t>
            </w:r>
          </w:p>
        </w:tc>
        <w:tc>
          <w:tcPr>
            <w:tcW w:w="900" w:type="dxa"/>
            <w:vAlign w:val="center"/>
          </w:tcPr>
          <w:p w:rsidR="00812877" w:rsidRDefault="00812877" w:rsidP="003A3E80">
            <w:pPr>
              <w:spacing w:line="260" w:lineRule="exact"/>
              <w:jc w:val="center"/>
              <w:rPr>
                <w:rFonts w:ascii="仿宋_GB2312" w:eastAsia="仿宋_GB2312"/>
                <w:color w:val="000000"/>
                <w:sz w:val="24"/>
              </w:rPr>
            </w:pPr>
          </w:p>
        </w:tc>
        <w:tc>
          <w:tcPr>
            <w:tcW w:w="900" w:type="dxa"/>
            <w:vAlign w:val="center"/>
          </w:tcPr>
          <w:p w:rsidR="00812877" w:rsidRDefault="00812877" w:rsidP="003A3E80">
            <w:pPr>
              <w:spacing w:line="260" w:lineRule="exact"/>
              <w:jc w:val="center"/>
              <w:rPr>
                <w:rFonts w:ascii="仿宋_GB2312" w:eastAsia="仿宋_GB2312"/>
                <w:color w:val="000000"/>
                <w:sz w:val="24"/>
              </w:rPr>
            </w:pPr>
          </w:p>
        </w:tc>
      </w:tr>
      <w:tr w:rsidR="00812877" w:rsidTr="003A3E80">
        <w:trPr>
          <w:trHeight w:val="1031"/>
        </w:trPr>
        <w:tc>
          <w:tcPr>
            <w:tcW w:w="1260" w:type="dxa"/>
            <w:vMerge w:val="restart"/>
            <w:vAlign w:val="center"/>
          </w:tcPr>
          <w:p w:rsidR="00812877" w:rsidRDefault="00812877" w:rsidP="003A3E80">
            <w:pPr>
              <w:spacing w:line="260" w:lineRule="exact"/>
              <w:rPr>
                <w:rFonts w:ascii="宋体" w:hAnsi="宋体"/>
                <w:color w:val="000000"/>
                <w:sz w:val="24"/>
              </w:rPr>
            </w:pPr>
            <w:r>
              <w:rPr>
                <w:rFonts w:ascii="宋体" w:hAnsi="宋体" w:hint="eastAsia"/>
                <w:color w:val="000000"/>
                <w:sz w:val="24"/>
              </w:rPr>
              <w:t>三、内部管理（30分）</w:t>
            </w:r>
          </w:p>
          <w:p w:rsidR="00812877" w:rsidRDefault="00812877" w:rsidP="003A3E80">
            <w:pPr>
              <w:spacing w:line="260" w:lineRule="exact"/>
              <w:rPr>
                <w:rFonts w:ascii="宋体" w:hAnsi="宋体"/>
                <w:color w:val="000000"/>
                <w:sz w:val="24"/>
              </w:rPr>
            </w:pPr>
          </w:p>
        </w:tc>
        <w:tc>
          <w:tcPr>
            <w:tcW w:w="1440" w:type="dxa"/>
            <w:vAlign w:val="center"/>
          </w:tcPr>
          <w:p w:rsidR="00812877" w:rsidRDefault="00812877" w:rsidP="003A3E80">
            <w:pPr>
              <w:spacing w:line="260" w:lineRule="exact"/>
              <w:rPr>
                <w:rFonts w:ascii="仿宋_GB2312" w:eastAsia="仿宋_GB2312"/>
                <w:color w:val="000000"/>
                <w:sz w:val="24"/>
              </w:rPr>
            </w:pPr>
            <w:r>
              <w:rPr>
                <w:rFonts w:ascii="仿宋_GB2312" w:eastAsia="仿宋_GB2312" w:hint="eastAsia"/>
                <w:color w:val="000000"/>
                <w:sz w:val="24"/>
              </w:rPr>
              <w:t>9、执业管理制度建立和实施情况（8分）</w:t>
            </w:r>
          </w:p>
        </w:tc>
        <w:tc>
          <w:tcPr>
            <w:tcW w:w="6840" w:type="dxa"/>
            <w:vAlign w:val="center"/>
          </w:tcPr>
          <w:p w:rsidR="00812877" w:rsidRDefault="00812877" w:rsidP="003A3E80">
            <w:pPr>
              <w:spacing w:line="260" w:lineRule="exact"/>
              <w:ind w:firstLineChars="200" w:firstLine="480"/>
              <w:rPr>
                <w:rFonts w:ascii="仿宋_GB2312" w:eastAsia="仿宋_GB2312"/>
                <w:color w:val="000000"/>
                <w:sz w:val="24"/>
              </w:rPr>
            </w:pPr>
            <w:r>
              <w:rPr>
                <w:rFonts w:ascii="仿宋_GB2312" w:eastAsia="仿宋_GB2312" w:hint="eastAsia"/>
                <w:color w:val="000000"/>
                <w:sz w:val="24"/>
              </w:rPr>
              <w:t>统一收案（1分）、统一与委托人签订书面委托代理合同（1分），统一收费并向当事人出具正式发票（1分）；依法设置会计科目和会计账簿，会计、出纳分设，并均持有会计从业证书（2分）；按规定提取执业风险、事业发展、社会保障、培训基金（2分）；建立利益冲突审查机制，年度内</w:t>
            </w:r>
            <w:proofErr w:type="gramStart"/>
            <w:r>
              <w:rPr>
                <w:rFonts w:ascii="仿宋_GB2312" w:eastAsia="仿宋_GB2312" w:hint="eastAsia"/>
                <w:color w:val="000000"/>
                <w:sz w:val="24"/>
              </w:rPr>
              <w:t>未代</w:t>
            </w:r>
            <w:proofErr w:type="gramEnd"/>
            <w:r>
              <w:rPr>
                <w:rFonts w:ascii="仿宋_GB2312" w:eastAsia="仿宋_GB2312" w:hint="eastAsia"/>
                <w:color w:val="000000"/>
                <w:sz w:val="24"/>
              </w:rPr>
              <w:t>理过有利益冲突案件（1分）。</w:t>
            </w:r>
          </w:p>
        </w:tc>
        <w:tc>
          <w:tcPr>
            <w:tcW w:w="3600" w:type="dxa"/>
            <w:vAlign w:val="center"/>
          </w:tcPr>
          <w:p w:rsidR="00812877" w:rsidRDefault="00812877" w:rsidP="003A3E80">
            <w:pPr>
              <w:spacing w:line="260" w:lineRule="exact"/>
              <w:ind w:firstLineChars="200" w:firstLine="480"/>
              <w:jc w:val="left"/>
              <w:rPr>
                <w:rFonts w:ascii="仿宋_GB2312" w:eastAsia="仿宋_GB2312"/>
                <w:color w:val="000000"/>
                <w:sz w:val="24"/>
              </w:rPr>
            </w:pPr>
            <w:r>
              <w:rPr>
                <w:rFonts w:ascii="仿宋_GB2312" w:eastAsia="仿宋_GB2312" w:hint="eastAsia"/>
                <w:color w:val="000000"/>
                <w:sz w:val="24"/>
              </w:rPr>
              <w:t>按项计分。其中，每出现一起私自收案、收费案件扣1分；每少提取一项基金扣0.5分；每有</w:t>
            </w:r>
            <w:proofErr w:type="gramStart"/>
            <w:r>
              <w:rPr>
                <w:rFonts w:ascii="仿宋_GB2312" w:eastAsia="仿宋_GB2312" w:hint="eastAsia"/>
                <w:color w:val="000000"/>
                <w:sz w:val="24"/>
              </w:rPr>
              <w:t>一起利益</w:t>
            </w:r>
            <w:proofErr w:type="gramEnd"/>
            <w:r>
              <w:rPr>
                <w:rFonts w:ascii="仿宋_GB2312" w:eastAsia="仿宋_GB2312" w:hint="eastAsia"/>
                <w:color w:val="000000"/>
                <w:sz w:val="24"/>
              </w:rPr>
              <w:t>冲突案件扣1分。</w:t>
            </w:r>
          </w:p>
        </w:tc>
        <w:tc>
          <w:tcPr>
            <w:tcW w:w="900" w:type="dxa"/>
            <w:vAlign w:val="center"/>
          </w:tcPr>
          <w:p w:rsidR="00812877" w:rsidRDefault="00812877" w:rsidP="003A3E80">
            <w:pPr>
              <w:spacing w:line="260" w:lineRule="exact"/>
              <w:jc w:val="center"/>
              <w:rPr>
                <w:rFonts w:ascii="仿宋_GB2312" w:eastAsia="仿宋_GB2312"/>
                <w:color w:val="000000"/>
                <w:sz w:val="24"/>
              </w:rPr>
            </w:pPr>
          </w:p>
        </w:tc>
        <w:tc>
          <w:tcPr>
            <w:tcW w:w="900" w:type="dxa"/>
            <w:vAlign w:val="center"/>
          </w:tcPr>
          <w:p w:rsidR="00812877" w:rsidRDefault="00812877" w:rsidP="003A3E80">
            <w:pPr>
              <w:spacing w:line="260" w:lineRule="exact"/>
              <w:jc w:val="center"/>
              <w:rPr>
                <w:rFonts w:ascii="仿宋_GB2312" w:eastAsia="仿宋_GB2312"/>
                <w:color w:val="000000"/>
                <w:sz w:val="24"/>
              </w:rPr>
            </w:pPr>
          </w:p>
        </w:tc>
      </w:tr>
      <w:tr w:rsidR="00812877" w:rsidTr="003A3E80">
        <w:trPr>
          <w:trHeight w:val="1086"/>
        </w:trPr>
        <w:tc>
          <w:tcPr>
            <w:tcW w:w="1260" w:type="dxa"/>
            <w:vMerge/>
            <w:vAlign w:val="center"/>
          </w:tcPr>
          <w:p w:rsidR="00812877" w:rsidRDefault="00812877" w:rsidP="003A3E80">
            <w:pPr>
              <w:spacing w:line="260" w:lineRule="exact"/>
              <w:rPr>
                <w:rFonts w:ascii="宋体" w:hAnsi="宋体"/>
                <w:color w:val="000000"/>
                <w:sz w:val="24"/>
              </w:rPr>
            </w:pPr>
          </w:p>
        </w:tc>
        <w:tc>
          <w:tcPr>
            <w:tcW w:w="1440" w:type="dxa"/>
          </w:tcPr>
          <w:p w:rsidR="00812877" w:rsidRDefault="00812877" w:rsidP="003A3E80">
            <w:pPr>
              <w:spacing w:line="260" w:lineRule="exact"/>
              <w:rPr>
                <w:rFonts w:ascii="仿宋_GB2312" w:eastAsia="仿宋_GB2312"/>
                <w:color w:val="000000"/>
                <w:sz w:val="24"/>
              </w:rPr>
            </w:pPr>
            <w:r>
              <w:rPr>
                <w:rFonts w:ascii="仿宋_GB2312" w:eastAsia="仿宋_GB2312" w:hint="eastAsia"/>
                <w:color w:val="000000"/>
                <w:sz w:val="24"/>
              </w:rPr>
              <w:t>10、纳税和加入执业保险情况（4分）</w:t>
            </w:r>
          </w:p>
        </w:tc>
        <w:tc>
          <w:tcPr>
            <w:tcW w:w="6840" w:type="dxa"/>
            <w:vAlign w:val="center"/>
          </w:tcPr>
          <w:p w:rsidR="00812877" w:rsidRDefault="00812877" w:rsidP="003A3E80">
            <w:pPr>
              <w:spacing w:line="260" w:lineRule="exact"/>
              <w:ind w:firstLineChars="200" w:firstLine="480"/>
              <w:rPr>
                <w:rFonts w:ascii="仿宋_GB2312" w:eastAsia="仿宋_GB2312"/>
                <w:color w:val="000000"/>
                <w:sz w:val="24"/>
              </w:rPr>
            </w:pPr>
            <w:r>
              <w:rPr>
                <w:rFonts w:ascii="仿宋_GB2312" w:eastAsia="仿宋_GB2312" w:hint="eastAsia"/>
                <w:color w:val="000000"/>
                <w:sz w:val="24"/>
              </w:rPr>
              <w:t>律师事务所、律师依法纳税，没有偷漏税情况发生（2分）；按规定统一参加律师执业责任保险（2分）。</w:t>
            </w:r>
          </w:p>
        </w:tc>
        <w:tc>
          <w:tcPr>
            <w:tcW w:w="3600" w:type="dxa"/>
            <w:vAlign w:val="center"/>
          </w:tcPr>
          <w:p w:rsidR="00812877" w:rsidRDefault="00812877" w:rsidP="003A3E80">
            <w:pPr>
              <w:spacing w:line="260" w:lineRule="exact"/>
              <w:ind w:firstLineChars="200" w:firstLine="480"/>
              <w:rPr>
                <w:rFonts w:ascii="仿宋_GB2312" w:eastAsia="仿宋_GB2312"/>
                <w:color w:val="000000"/>
                <w:sz w:val="24"/>
              </w:rPr>
            </w:pPr>
            <w:r>
              <w:rPr>
                <w:rFonts w:ascii="仿宋_GB2312" w:eastAsia="仿宋_GB2312" w:hint="eastAsia"/>
                <w:color w:val="000000"/>
                <w:sz w:val="24"/>
              </w:rPr>
              <w:t>按项计分。</w:t>
            </w:r>
          </w:p>
        </w:tc>
        <w:tc>
          <w:tcPr>
            <w:tcW w:w="900" w:type="dxa"/>
            <w:vAlign w:val="center"/>
          </w:tcPr>
          <w:p w:rsidR="00812877" w:rsidRDefault="00812877" w:rsidP="003A3E80">
            <w:pPr>
              <w:spacing w:line="260" w:lineRule="exact"/>
              <w:jc w:val="center"/>
              <w:rPr>
                <w:rFonts w:ascii="仿宋_GB2312" w:eastAsia="仿宋_GB2312"/>
                <w:color w:val="000000"/>
                <w:sz w:val="24"/>
              </w:rPr>
            </w:pPr>
          </w:p>
        </w:tc>
        <w:tc>
          <w:tcPr>
            <w:tcW w:w="900" w:type="dxa"/>
            <w:vAlign w:val="center"/>
          </w:tcPr>
          <w:p w:rsidR="00812877" w:rsidRDefault="00812877" w:rsidP="003A3E80">
            <w:pPr>
              <w:spacing w:line="260" w:lineRule="exact"/>
              <w:jc w:val="center"/>
              <w:rPr>
                <w:rFonts w:ascii="仿宋_GB2312" w:eastAsia="仿宋_GB2312"/>
                <w:color w:val="000000"/>
                <w:sz w:val="24"/>
              </w:rPr>
            </w:pPr>
          </w:p>
        </w:tc>
      </w:tr>
      <w:tr w:rsidR="00812877" w:rsidTr="003A3E80">
        <w:trPr>
          <w:trHeight w:val="1242"/>
        </w:trPr>
        <w:tc>
          <w:tcPr>
            <w:tcW w:w="1260" w:type="dxa"/>
            <w:vMerge/>
            <w:vAlign w:val="center"/>
          </w:tcPr>
          <w:p w:rsidR="00812877" w:rsidRDefault="00812877" w:rsidP="003A3E80">
            <w:pPr>
              <w:spacing w:line="260" w:lineRule="exact"/>
              <w:rPr>
                <w:rFonts w:ascii="宋体" w:hAnsi="宋体"/>
                <w:color w:val="000000"/>
                <w:sz w:val="24"/>
              </w:rPr>
            </w:pPr>
          </w:p>
        </w:tc>
        <w:tc>
          <w:tcPr>
            <w:tcW w:w="1440" w:type="dxa"/>
            <w:vAlign w:val="center"/>
          </w:tcPr>
          <w:p w:rsidR="00812877" w:rsidRDefault="00812877" w:rsidP="003A3E80">
            <w:pPr>
              <w:spacing w:line="260" w:lineRule="exact"/>
              <w:rPr>
                <w:rFonts w:ascii="仿宋_GB2312" w:eastAsia="仿宋_GB2312"/>
                <w:color w:val="000000"/>
                <w:sz w:val="24"/>
              </w:rPr>
            </w:pPr>
            <w:r>
              <w:rPr>
                <w:rFonts w:ascii="仿宋_GB2312" w:eastAsia="仿宋_GB2312" w:hint="eastAsia"/>
                <w:color w:val="000000"/>
                <w:sz w:val="24"/>
              </w:rPr>
              <w:t>11、人员管理情况（6分）</w:t>
            </w:r>
          </w:p>
        </w:tc>
        <w:tc>
          <w:tcPr>
            <w:tcW w:w="6840" w:type="dxa"/>
            <w:vAlign w:val="center"/>
          </w:tcPr>
          <w:p w:rsidR="00812877" w:rsidRDefault="00812877" w:rsidP="003A3E80">
            <w:pPr>
              <w:spacing w:line="260" w:lineRule="exact"/>
              <w:ind w:firstLineChars="200" w:firstLine="480"/>
              <w:rPr>
                <w:rFonts w:ascii="仿宋_GB2312" w:eastAsia="仿宋_GB2312"/>
                <w:color w:val="000000"/>
                <w:sz w:val="24"/>
              </w:rPr>
            </w:pPr>
            <w:r>
              <w:rPr>
                <w:rFonts w:ascii="仿宋_GB2312" w:eastAsia="仿宋_GB2312" w:hint="eastAsia"/>
                <w:color w:val="000000"/>
                <w:sz w:val="24"/>
              </w:rPr>
              <w:t>律师事务所负责人按职责规定履行了管理责任（2分）；建立了聘用律师、辅助人员、实习人员管理制度，依法与聘用律师、辅助人员、实习人员签订合同或协议并加强管理的（2分）；按时、足额为聘用律师、辅助人员缴纳养老、医疗、工伤等社会保险，建立实习人员考核制度，并认真实施（2分）。</w:t>
            </w:r>
          </w:p>
        </w:tc>
        <w:tc>
          <w:tcPr>
            <w:tcW w:w="3600" w:type="dxa"/>
            <w:vAlign w:val="center"/>
          </w:tcPr>
          <w:p w:rsidR="00812877" w:rsidRDefault="00812877" w:rsidP="003A3E80">
            <w:pPr>
              <w:spacing w:line="260" w:lineRule="exact"/>
              <w:ind w:firstLineChars="200" w:firstLine="480"/>
              <w:rPr>
                <w:rFonts w:ascii="仿宋_GB2312" w:eastAsia="仿宋_GB2312"/>
                <w:color w:val="000000"/>
                <w:sz w:val="24"/>
              </w:rPr>
            </w:pPr>
            <w:r>
              <w:rPr>
                <w:rFonts w:ascii="仿宋_GB2312" w:eastAsia="仿宋_GB2312" w:hint="eastAsia"/>
                <w:color w:val="000000"/>
                <w:sz w:val="24"/>
              </w:rPr>
              <w:t>按项计分。其中，每少签一份合同或协议扣0.5分；每少缴纳一项社会保险扣1分。</w:t>
            </w:r>
          </w:p>
        </w:tc>
        <w:tc>
          <w:tcPr>
            <w:tcW w:w="900" w:type="dxa"/>
            <w:vAlign w:val="center"/>
          </w:tcPr>
          <w:p w:rsidR="00812877" w:rsidRDefault="00812877" w:rsidP="003A3E80">
            <w:pPr>
              <w:spacing w:line="260" w:lineRule="exact"/>
              <w:jc w:val="center"/>
              <w:rPr>
                <w:rFonts w:ascii="仿宋_GB2312" w:eastAsia="仿宋_GB2312"/>
                <w:color w:val="000000"/>
                <w:sz w:val="24"/>
              </w:rPr>
            </w:pPr>
          </w:p>
        </w:tc>
        <w:tc>
          <w:tcPr>
            <w:tcW w:w="900" w:type="dxa"/>
            <w:vAlign w:val="center"/>
          </w:tcPr>
          <w:p w:rsidR="00812877" w:rsidRDefault="00812877" w:rsidP="003A3E80">
            <w:pPr>
              <w:spacing w:line="260" w:lineRule="exact"/>
              <w:jc w:val="center"/>
              <w:rPr>
                <w:rFonts w:ascii="仿宋_GB2312" w:eastAsia="仿宋_GB2312"/>
                <w:color w:val="000000"/>
                <w:sz w:val="24"/>
              </w:rPr>
            </w:pPr>
          </w:p>
        </w:tc>
      </w:tr>
      <w:tr w:rsidR="00812877" w:rsidTr="003A3E80">
        <w:trPr>
          <w:trHeight w:val="70"/>
        </w:trPr>
        <w:tc>
          <w:tcPr>
            <w:tcW w:w="1260" w:type="dxa"/>
            <w:vMerge/>
            <w:vAlign w:val="center"/>
          </w:tcPr>
          <w:p w:rsidR="00812877" w:rsidRDefault="00812877" w:rsidP="003A3E80">
            <w:pPr>
              <w:spacing w:line="260" w:lineRule="exact"/>
              <w:rPr>
                <w:rFonts w:ascii="宋体" w:hAnsi="宋体"/>
                <w:color w:val="000000"/>
                <w:sz w:val="24"/>
              </w:rPr>
            </w:pPr>
          </w:p>
        </w:tc>
        <w:tc>
          <w:tcPr>
            <w:tcW w:w="1440" w:type="dxa"/>
            <w:vAlign w:val="center"/>
          </w:tcPr>
          <w:p w:rsidR="00812877" w:rsidRDefault="00812877" w:rsidP="003A3E80">
            <w:pPr>
              <w:spacing w:line="260" w:lineRule="exact"/>
              <w:rPr>
                <w:rFonts w:ascii="仿宋_GB2312" w:eastAsia="仿宋_GB2312"/>
                <w:color w:val="000000"/>
                <w:sz w:val="24"/>
              </w:rPr>
            </w:pPr>
            <w:r>
              <w:rPr>
                <w:rFonts w:ascii="仿宋_GB2312" w:eastAsia="仿宋_GB2312" w:hint="eastAsia"/>
                <w:color w:val="000000"/>
                <w:sz w:val="24"/>
              </w:rPr>
              <w:t>12、档案管理情况（8分）</w:t>
            </w:r>
          </w:p>
          <w:p w:rsidR="00812877" w:rsidRDefault="00812877" w:rsidP="003A3E80">
            <w:pPr>
              <w:spacing w:line="260" w:lineRule="exact"/>
              <w:rPr>
                <w:rFonts w:ascii="仿宋_GB2312" w:eastAsia="仿宋_GB2312"/>
                <w:color w:val="000000"/>
                <w:sz w:val="24"/>
              </w:rPr>
            </w:pPr>
          </w:p>
        </w:tc>
        <w:tc>
          <w:tcPr>
            <w:tcW w:w="6840" w:type="dxa"/>
            <w:vAlign w:val="center"/>
          </w:tcPr>
          <w:p w:rsidR="00812877" w:rsidRDefault="00812877" w:rsidP="003A3E80">
            <w:pPr>
              <w:spacing w:line="260" w:lineRule="exact"/>
              <w:ind w:firstLineChars="200" w:firstLine="480"/>
              <w:rPr>
                <w:rFonts w:ascii="仿宋_GB2312" w:eastAsia="仿宋_GB2312"/>
                <w:color w:val="000000"/>
                <w:sz w:val="24"/>
              </w:rPr>
            </w:pPr>
            <w:r>
              <w:rPr>
                <w:rFonts w:ascii="仿宋_GB2312" w:eastAsia="仿宋_GB2312" w:hint="eastAsia"/>
                <w:color w:val="000000"/>
                <w:sz w:val="24"/>
              </w:rPr>
              <w:t>建立档案室或配备专门档案柜（1分），业务档案齐全且分类保管（1分）；业务档案归档及时且内容齐全（4分）；建立本所律师个人执业档案（2分）。</w:t>
            </w:r>
          </w:p>
        </w:tc>
        <w:tc>
          <w:tcPr>
            <w:tcW w:w="3600" w:type="dxa"/>
            <w:vAlign w:val="center"/>
          </w:tcPr>
          <w:p w:rsidR="00812877" w:rsidRDefault="00812877" w:rsidP="003A3E80">
            <w:pPr>
              <w:spacing w:line="260" w:lineRule="exact"/>
              <w:ind w:firstLineChars="200" w:firstLine="480"/>
              <w:jc w:val="left"/>
              <w:rPr>
                <w:rFonts w:ascii="仿宋_GB2312" w:eastAsia="仿宋_GB2312"/>
                <w:color w:val="000000"/>
                <w:sz w:val="24"/>
              </w:rPr>
            </w:pPr>
            <w:r>
              <w:rPr>
                <w:rFonts w:ascii="仿宋_GB2312" w:eastAsia="仿宋_GB2312" w:hint="eastAsia"/>
                <w:color w:val="000000"/>
                <w:sz w:val="24"/>
              </w:rPr>
              <w:t>按项计分。其中，凡有一件未按时归档的扣0.1分；案卷内容不全的，按未归档计算；律师执业档案，每缺一人扣0.2分。</w:t>
            </w:r>
          </w:p>
        </w:tc>
        <w:tc>
          <w:tcPr>
            <w:tcW w:w="900" w:type="dxa"/>
            <w:vAlign w:val="center"/>
          </w:tcPr>
          <w:p w:rsidR="00812877" w:rsidRDefault="00812877" w:rsidP="003A3E80">
            <w:pPr>
              <w:spacing w:line="260" w:lineRule="exact"/>
              <w:jc w:val="center"/>
              <w:rPr>
                <w:rFonts w:ascii="仿宋_GB2312" w:eastAsia="仿宋_GB2312"/>
                <w:color w:val="000000"/>
                <w:sz w:val="24"/>
              </w:rPr>
            </w:pPr>
          </w:p>
        </w:tc>
        <w:tc>
          <w:tcPr>
            <w:tcW w:w="900" w:type="dxa"/>
            <w:vAlign w:val="center"/>
          </w:tcPr>
          <w:p w:rsidR="00812877" w:rsidRDefault="00812877" w:rsidP="003A3E80">
            <w:pPr>
              <w:spacing w:line="260" w:lineRule="exact"/>
              <w:jc w:val="center"/>
              <w:rPr>
                <w:rFonts w:ascii="仿宋_GB2312" w:eastAsia="仿宋_GB2312"/>
                <w:color w:val="000000"/>
                <w:sz w:val="24"/>
              </w:rPr>
            </w:pPr>
          </w:p>
        </w:tc>
      </w:tr>
      <w:tr w:rsidR="00812877" w:rsidTr="003A3E80">
        <w:trPr>
          <w:trHeight w:val="1657"/>
        </w:trPr>
        <w:tc>
          <w:tcPr>
            <w:tcW w:w="1260" w:type="dxa"/>
            <w:tcBorders>
              <w:top w:val="nil"/>
            </w:tcBorders>
            <w:vAlign w:val="center"/>
          </w:tcPr>
          <w:p w:rsidR="00812877" w:rsidRDefault="00812877" w:rsidP="003A3E80">
            <w:pPr>
              <w:spacing w:line="260" w:lineRule="exact"/>
              <w:rPr>
                <w:rFonts w:ascii="宋体" w:hAnsi="宋体"/>
                <w:color w:val="000000"/>
                <w:sz w:val="24"/>
              </w:rPr>
            </w:pPr>
          </w:p>
        </w:tc>
        <w:tc>
          <w:tcPr>
            <w:tcW w:w="1440" w:type="dxa"/>
            <w:vAlign w:val="center"/>
          </w:tcPr>
          <w:p w:rsidR="00812877" w:rsidRDefault="00812877" w:rsidP="003A3E80">
            <w:pPr>
              <w:spacing w:line="260" w:lineRule="exact"/>
              <w:rPr>
                <w:rFonts w:ascii="仿宋_GB2312" w:eastAsia="仿宋_GB2312"/>
                <w:color w:val="000000"/>
                <w:sz w:val="24"/>
              </w:rPr>
            </w:pPr>
            <w:r>
              <w:rPr>
                <w:rFonts w:ascii="仿宋_GB2312" w:eastAsia="仿宋_GB2312" w:hint="eastAsia"/>
                <w:color w:val="000000"/>
                <w:sz w:val="24"/>
              </w:rPr>
              <w:t>13、章程、合伙制度实施情况（4分）</w:t>
            </w:r>
          </w:p>
        </w:tc>
        <w:tc>
          <w:tcPr>
            <w:tcW w:w="6840" w:type="dxa"/>
            <w:vAlign w:val="center"/>
          </w:tcPr>
          <w:p w:rsidR="00812877" w:rsidRDefault="00812877" w:rsidP="003A3E80">
            <w:pPr>
              <w:spacing w:line="260" w:lineRule="exact"/>
              <w:ind w:firstLineChars="200" w:firstLine="480"/>
              <w:rPr>
                <w:rFonts w:ascii="仿宋_GB2312" w:eastAsia="仿宋_GB2312"/>
                <w:color w:val="000000"/>
                <w:sz w:val="24"/>
              </w:rPr>
            </w:pPr>
            <w:r>
              <w:rPr>
                <w:rFonts w:ascii="仿宋_GB2312" w:eastAsia="仿宋_GB2312" w:hint="eastAsia"/>
                <w:color w:val="000000"/>
                <w:sz w:val="24"/>
              </w:rPr>
              <w:t>根据章程规定，建立健全相应的规章制度(2分)，管理人责任明确，议事规则完备，定期召开会议，研究决定所内重大事务，个人律师事务所重大事项能够征求聘用律师意见，且有会议记录（2分）。</w:t>
            </w:r>
          </w:p>
        </w:tc>
        <w:tc>
          <w:tcPr>
            <w:tcW w:w="3600" w:type="dxa"/>
            <w:vAlign w:val="center"/>
          </w:tcPr>
          <w:p w:rsidR="00812877" w:rsidRDefault="00812877" w:rsidP="003A3E80">
            <w:pPr>
              <w:spacing w:line="260" w:lineRule="exact"/>
              <w:ind w:firstLineChars="200" w:firstLine="480"/>
              <w:jc w:val="left"/>
              <w:rPr>
                <w:rFonts w:ascii="仿宋_GB2312" w:eastAsia="仿宋_GB2312"/>
                <w:color w:val="000000"/>
                <w:sz w:val="24"/>
              </w:rPr>
            </w:pPr>
            <w:r>
              <w:rPr>
                <w:rFonts w:ascii="仿宋_GB2312" w:eastAsia="仿宋_GB2312" w:hint="eastAsia"/>
                <w:color w:val="000000"/>
                <w:sz w:val="24"/>
              </w:rPr>
              <w:t>按项计分。其中，合伙人不团结，经常形不成一致意见的扣2分；对分支机构疏于管理的扣2分。</w:t>
            </w:r>
          </w:p>
        </w:tc>
        <w:tc>
          <w:tcPr>
            <w:tcW w:w="900" w:type="dxa"/>
            <w:vAlign w:val="center"/>
          </w:tcPr>
          <w:p w:rsidR="00812877" w:rsidRDefault="00812877" w:rsidP="003A3E80">
            <w:pPr>
              <w:spacing w:line="260" w:lineRule="exact"/>
              <w:jc w:val="center"/>
              <w:rPr>
                <w:rFonts w:ascii="仿宋_GB2312" w:eastAsia="仿宋_GB2312"/>
                <w:color w:val="000000"/>
                <w:sz w:val="24"/>
              </w:rPr>
            </w:pPr>
          </w:p>
        </w:tc>
        <w:tc>
          <w:tcPr>
            <w:tcW w:w="900" w:type="dxa"/>
            <w:vAlign w:val="center"/>
          </w:tcPr>
          <w:p w:rsidR="00812877" w:rsidRDefault="00812877" w:rsidP="003A3E80">
            <w:pPr>
              <w:spacing w:line="260" w:lineRule="exact"/>
              <w:jc w:val="center"/>
              <w:rPr>
                <w:rFonts w:ascii="仿宋_GB2312" w:eastAsia="仿宋_GB2312"/>
                <w:color w:val="000000"/>
                <w:sz w:val="24"/>
              </w:rPr>
            </w:pPr>
          </w:p>
        </w:tc>
      </w:tr>
      <w:tr w:rsidR="00812877" w:rsidTr="003A3E80">
        <w:trPr>
          <w:trHeight w:val="768"/>
        </w:trPr>
        <w:tc>
          <w:tcPr>
            <w:tcW w:w="1260" w:type="dxa"/>
            <w:vMerge w:val="restart"/>
            <w:vAlign w:val="center"/>
          </w:tcPr>
          <w:p w:rsidR="00812877" w:rsidRDefault="00812877" w:rsidP="003A3E80">
            <w:pPr>
              <w:spacing w:line="260" w:lineRule="exact"/>
              <w:rPr>
                <w:rFonts w:ascii="宋体" w:hAnsi="宋体"/>
                <w:color w:val="000000"/>
                <w:sz w:val="24"/>
              </w:rPr>
            </w:pPr>
            <w:r>
              <w:rPr>
                <w:rFonts w:ascii="宋体" w:hAnsi="宋体" w:hint="eastAsia"/>
                <w:color w:val="000000"/>
                <w:sz w:val="24"/>
              </w:rPr>
              <w:t>四、业务活动开展（10分）</w:t>
            </w:r>
          </w:p>
          <w:p w:rsidR="00812877" w:rsidRDefault="00812877" w:rsidP="003A3E80">
            <w:pPr>
              <w:spacing w:line="260" w:lineRule="exact"/>
              <w:rPr>
                <w:rFonts w:ascii="宋体" w:hAnsi="宋体"/>
                <w:color w:val="000000"/>
                <w:sz w:val="24"/>
              </w:rPr>
            </w:pPr>
          </w:p>
        </w:tc>
        <w:tc>
          <w:tcPr>
            <w:tcW w:w="1440" w:type="dxa"/>
            <w:vAlign w:val="center"/>
          </w:tcPr>
          <w:p w:rsidR="00812877" w:rsidRDefault="00812877" w:rsidP="003A3E80">
            <w:pPr>
              <w:spacing w:line="260" w:lineRule="exact"/>
              <w:rPr>
                <w:rFonts w:ascii="仿宋_GB2312" w:eastAsia="仿宋_GB2312"/>
                <w:color w:val="000000"/>
                <w:sz w:val="24"/>
              </w:rPr>
            </w:pPr>
            <w:r>
              <w:rPr>
                <w:rFonts w:ascii="仿宋_GB2312" w:eastAsia="仿宋_GB2312" w:hint="eastAsia"/>
                <w:color w:val="000000"/>
                <w:sz w:val="24"/>
              </w:rPr>
              <w:t>14、业务发展情况（2分）</w:t>
            </w:r>
          </w:p>
        </w:tc>
        <w:tc>
          <w:tcPr>
            <w:tcW w:w="6840" w:type="dxa"/>
            <w:vAlign w:val="center"/>
          </w:tcPr>
          <w:p w:rsidR="00812877" w:rsidRDefault="00812877" w:rsidP="003A3E80">
            <w:pPr>
              <w:spacing w:line="260" w:lineRule="exact"/>
              <w:ind w:firstLineChars="200" w:firstLine="480"/>
              <w:rPr>
                <w:rFonts w:ascii="仿宋_GB2312" w:eastAsia="仿宋_GB2312"/>
                <w:color w:val="000000"/>
                <w:sz w:val="24"/>
              </w:rPr>
            </w:pPr>
            <w:r>
              <w:rPr>
                <w:rFonts w:ascii="仿宋_GB2312" w:eastAsia="仿宋_GB2312" w:hint="eastAsia"/>
                <w:color w:val="000000"/>
                <w:sz w:val="24"/>
              </w:rPr>
              <w:t>能够按照《律师法》规定的业务范围开展业务，有自己本所的特色，并积极拓展服务领域（2分）。</w:t>
            </w:r>
          </w:p>
        </w:tc>
        <w:tc>
          <w:tcPr>
            <w:tcW w:w="3600" w:type="dxa"/>
            <w:vAlign w:val="center"/>
          </w:tcPr>
          <w:p w:rsidR="00812877" w:rsidRDefault="00812877" w:rsidP="003A3E80">
            <w:pPr>
              <w:spacing w:line="260" w:lineRule="exact"/>
              <w:ind w:firstLineChars="200" w:firstLine="480"/>
              <w:jc w:val="left"/>
              <w:rPr>
                <w:rFonts w:ascii="仿宋_GB2312" w:eastAsia="仿宋_GB2312"/>
                <w:color w:val="000000"/>
                <w:sz w:val="24"/>
              </w:rPr>
            </w:pPr>
          </w:p>
        </w:tc>
        <w:tc>
          <w:tcPr>
            <w:tcW w:w="900" w:type="dxa"/>
            <w:vAlign w:val="center"/>
          </w:tcPr>
          <w:p w:rsidR="00812877" w:rsidRDefault="00812877" w:rsidP="003A3E80">
            <w:pPr>
              <w:spacing w:line="260" w:lineRule="exact"/>
              <w:jc w:val="center"/>
              <w:rPr>
                <w:rFonts w:ascii="仿宋_GB2312" w:eastAsia="仿宋_GB2312"/>
                <w:color w:val="000000"/>
                <w:sz w:val="24"/>
              </w:rPr>
            </w:pPr>
          </w:p>
        </w:tc>
        <w:tc>
          <w:tcPr>
            <w:tcW w:w="900" w:type="dxa"/>
            <w:vAlign w:val="center"/>
          </w:tcPr>
          <w:p w:rsidR="00812877" w:rsidRDefault="00812877" w:rsidP="003A3E80">
            <w:pPr>
              <w:spacing w:line="260" w:lineRule="exact"/>
              <w:jc w:val="center"/>
              <w:rPr>
                <w:rFonts w:ascii="仿宋_GB2312" w:eastAsia="仿宋_GB2312"/>
                <w:color w:val="000000"/>
                <w:sz w:val="24"/>
              </w:rPr>
            </w:pPr>
          </w:p>
        </w:tc>
      </w:tr>
      <w:tr w:rsidR="00812877" w:rsidTr="003A3E80">
        <w:trPr>
          <w:trHeight w:val="751"/>
        </w:trPr>
        <w:tc>
          <w:tcPr>
            <w:tcW w:w="1260" w:type="dxa"/>
            <w:vMerge/>
            <w:vAlign w:val="center"/>
          </w:tcPr>
          <w:p w:rsidR="00812877" w:rsidRDefault="00812877" w:rsidP="003A3E80">
            <w:pPr>
              <w:spacing w:line="260" w:lineRule="exact"/>
              <w:rPr>
                <w:rFonts w:ascii="宋体" w:hAnsi="宋体"/>
                <w:color w:val="000000"/>
                <w:sz w:val="24"/>
              </w:rPr>
            </w:pPr>
          </w:p>
        </w:tc>
        <w:tc>
          <w:tcPr>
            <w:tcW w:w="1440" w:type="dxa"/>
          </w:tcPr>
          <w:p w:rsidR="00812877" w:rsidRDefault="00812877" w:rsidP="003A3E80">
            <w:pPr>
              <w:spacing w:line="260" w:lineRule="exact"/>
              <w:rPr>
                <w:rFonts w:ascii="仿宋_GB2312" w:eastAsia="仿宋_GB2312"/>
                <w:color w:val="000000"/>
                <w:sz w:val="24"/>
              </w:rPr>
            </w:pPr>
            <w:r>
              <w:rPr>
                <w:rFonts w:ascii="仿宋_GB2312" w:eastAsia="仿宋_GB2312" w:hint="eastAsia"/>
                <w:color w:val="000000"/>
                <w:sz w:val="24"/>
              </w:rPr>
              <w:t>15、规范执业情况（2分）</w:t>
            </w:r>
          </w:p>
        </w:tc>
        <w:tc>
          <w:tcPr>
            <w:tcW w:w="6840" w:type="dxa"/>
            <w:vAlign w:val="center"/>
          </w:tcPr>
          <w:p w:rsidR="00812877" w:rsidRDefault="00812877" w:rsidP="003A3E80">
            <w:pPr>
              <w:spacing w:line="260" w:lineRule="exact"/>
              <w:ind w:firstLineChars="200" w:firstLine="480"/>
              <w:rPr>
                <w:rFonts w:ascii="仿宋_GB2312" w:eastAsia="仿宋_GB2312"/>
                <w:color w:val="000000"/>
                <w:sz w:val="24"/>
              </w:rPr>
            </w:pPr>
            <w:r>
              <w:rPr>
                <w:rFonts w:ascii="仿宋_GB2312" w:eastAsia="仿宋_GB2312" w:hint="eastAsia"/>
                <w:color w:val="000000"/>
                <w:sz w:val="24"/>
              </w:rPr>
              <w:t>制定律师担任法律顾问、办理刑事案件、民事案件、非诉讼业务等操作规程，并认真实施（2分）。</w:t>
            </w:r>
          </w:p>
        </w:tc>
        <w:tc>
          <w:tcPr>
            <w:tcW w:w="3600" w:type="dxa"/>
            <w:vAlign w:val="center"/>
          </w:tcPr>
          <w:p w:rsidR="00812877" w:rsidRDefault="00812877" w:rsidP="003A3E80">
            <w:pPr>
              <w:spacing w:line="260" w:lineRule="exact"/>
              <w:ind w:firstLineChars="200" w:firstLine="480"/>
              <w:jc w:val="left"/>
              <w:rPr>
                <w:rFonts w:ascii="仿宋_GB2312" w:eastAsia="仿宋_GB2312"/>
                <w:color w:val="000000"/>
                <w:sz w:val="24"/>
              </w:rPr>
            </w:pPr>
            <w:r>
              <w:rPr>
                <w:rFonts w:ascii="仿宋_GB2312" w:eastAsia="仿宋_GB2312" w:hint="eastAsia"/>
                <w:color w:val="000000"/>
                <w:sz w:val="24"/>
              </w:rPr>
              <w:t>按项计分。其中，每少一项操作规程扣0.5分。</w:t>
            </w:r>
          </w:p>
        </w:tc>
        <w:tc>
          <w:tcPr>
            <w:tcW w:w="900" w:type="dxa"/>
            <w:vAlign w:val="center"/>
          </w:tcPr>
          <w:p w:rsidR="00812877" w:rsidRDefault="00812877" w:rsidP="003A3E80">
            <w:pPr>
              <w:spacing w:line="260" w:lineRule="exact"/>
              <w:jc w:val="center"/>
              <w:rPr>
                <w:rFonts w:ascii="仿宋_GB2312" w:eastAsia="仿宋_GB2312"/>
                <w:color w:val="000000"/>
                <w:sz w:val="24"/>
              </w:rPr>
            </w:pPr>
          </w:p>
        </w:tc>
        <w:tc>
          <w:tcPr>
            <w:tcW w:w="900" w:type="dxa"/>
            <w:vAlign w:val="center"/>
          </w:tcPr>
          <w:p w:rsidR="00812877" w:rsidRDefault="00812877" w:rsidP="003A3E80">
            <w:pPr>
              <w:spacing w:line="260" w:lineRule="exact"/>
              <w:jc w:val="center"/>
              <w:rPr>
                <w:rFonts w:ascii="仿宋_GB2312" w:eastAsia="仿宋_GB2312"/>
                <w:color w:val="000000"/>
                <w:sz w:val="24"/>
              </w:rPr>
            </w:pPr>
          </w:p>
        </w:tc>
      </w:tr>
      <w:tr w:rsidR="00812877" w:rsidTr="003A3E80">
        <w:trPr>
          <w:trHeight w:val="70"/>
        </w:trPr>
        <w:tc>
          <w:tcPr>
            <w:tcW w:w="1260" w:type="dxa"/>
            <w:vMerge/>
            <w:vAlign w:val="center"/>
          </w:tcPr>
          <w:p w:rsidR="00812877" w:rsidRDefault="00812877" w:rsidP="003A3E80">
            <w:pPr>
              <w:spacing w:line="260" w:lineRule="exact"/>
              <w:rPr>
                <w:rFonts w:ascii="宋体" w:hAnsi="宋体"/>
                <w:color w:val="000000"/>
                <w:sz w:val="24"/>
              </w:rPr>
            </w:pPr>
          </w:p>
        </w:tc>
        <w:tc>
          <w:tcPr>
            <w:tcW w:w="1440" w:type="dxa"/>
          </w:tcPr>
          <w:p w:rsidR="00812877" w:rsidRDefault="00812877" w:rsidP="003A3E80">
            <w:pPr>
              <w:spacing w:line="260" w:lineRule="exact"/>
              <w:rPr>
                <w:rFonts w:ascii="仿宋_GB2312" w:eastAsia="仿宋_GB2312"/>
                <w:color w:val="000000"/>
                <w:sz w:val="24"/>
              </w:rPr>
            </w:pPr>
            <w:r>
              <w:rPr>
                <w:rFonts w:ascii="仿宋_GB2312" w:eastAsia="仿宋_GB2312" w:hint="eastAsia"/>
                <w:color w:val="000000"/>
                <w:sz w:val="24"/>
              </w:rPr>
              <w:t>16、代理敏感案件情况(4分)</w:t>
            </w:r>
          </w:p>
        </w:tc>
        <w:tc>
          <w:tcPr>
            <w:tcW w:w="6840" w:type="dxa"/>
            <w:vAlign w:val="center"/>
          </w:tcPr>
          <w:p w:rsidR="00812877" w:rsidRDefault="00812877" w:rsidP="003A3E80">
            <w:pPr>
              <w:spacing w:line="260" w:lineRule="exact"/>
              <w:ind w:firstLineChars="200" w:firstLine="480"/>
              <w:rPr>
                <w:rFonts w:ascii="仿宋_GB2312" w:eastAsia="仿宋_GB2312"/>
                <w:color w:val="000000"/>
                <w:sz w:val="24"/>
              </w:rPr>
            </w:pPr>
            <w:r>
              <w:rPr>
                <w:rFonts w:ascii="仿宋_GB2312" w:eastAsia="仿宋_GB2312" w:hint="eastAsia"/>
                <w:color w:val="000000"/>
                <w:sz w:val="24"/>
              </w:rPr>
              <w:t>代理重大案件、群体性案件能够及时向主管司法行政部门和律师协会报告（2分）；建立重大、疑难案件集体讨论机制，并有集体讨论记录（2分）。</w:t>
            </w:r>
          </w:p>
        </w:tc>
        <w:tc>
          <w:tcPr>
            <w:tcW w:w="3600" w:type="dxa"/>
            <w:vAlign w:val="center"/>
          </w:tcPr>
          <w:p w:rsidR="00812877" w:rsidRDefault="00812877" w:rsidP="003A3E80">
            <w:pPr>
              <w:spacing w:line="260" w:lineRule="exact"/>
              <w:ind w:firstLineChars="200" w:firstLine="480"/>
              <w:jc w:val="left"/>
              <w:rPr>
                <w:rFonts w:ascii="仿宋_GB2312" w:eastAsia="仿宋_GB2312"/>
                <w:color w:val="000000"/>
                <w:sz w:val="24"/>
              </w:rPr>
            </w:pPr>
            <w:r>
              <w:rPr>
                <w:rFonts w:ascii="仿宋_GB2312" w:eastAsia="仿宋_GB2312" w:hint="eastAsia"/>
                <w:color w:val="000000"/>
                <w:sz w:val="24"/>
              </w:rPr>
              <w:t>按项计分。</w:t>
            </w:r>
          </w:p>
        </w:tc>
        <w:tc>
          <w:tcPr>
            <w:tcW w:w="900" w:type="dxa"/>
            <w:vAlign w:val="center"/>
          </w:tcPr>
          <w:p w:rsidR="00812877" w:rsidRDefault="00812877" w:rsidP="003A3E80">
            <w:pPr>
              <w:spacing w:line="260" w:lineRule="exact"/>
              <w:jc w:val="center"/>
              <w:rPr>
                <w:rFonts w:ascii="仿宋_GB2312" w:eastAsia="仿宋_GB2312"/>
                <w:color w:val="000000"/>
                <w:sz w:val="24"/>
              </w:rPr>
            </w:pPr>
          </w:p>
        </w:tc>
        <w:tc>
          <w:tcPr>
            <w:tcW w:w="900" w:type="dxa"/>
            <w:vAlign w:val="center"/>
          </w:tcPr>
          <w:p w:rsidR="00812877" w:rsidRDefault="00812877" w:rsidP="003A3E80">
            <w:pPr>
              <w:spacing w:line="260" w:lineRule="exact"/>
              <w:jc w:val="center"/>
              <w:rPr>
                <w:rFonts w:ascii="仿宋_GB2312" w:eastAsia="仿宋_GB2312"/>
                <w:color w:val="000000"/>
                <w:sz w:val="24"/>
              </w:rPr>
            </w:pPr>
          </w:p>
        </w:tc>
      </w:tr>
      <w:tr w:rsidR="00812877" w:rsidTr="003A3E80">
        <w:trPr>
          <w:trHeight w:val="1058"/>
        </w:trPr>
        <w:tc>
          <w:tcPr>
            <w:tcW w:w="1260" w:type="dxa"/>
            <w:vMerge/>
            <w:vAlign w:val="center"/>
          </w:tcPr>
          <w:p w:rsidR="00812877" w:rsidRDefault="00812877" w:rsidP="003A3E80">
            <w:pPr>
              <w:spacing w:line="260" w:lineRule="exact"/>
              <w:rPr>
                <w:rFonts w:ascii="宋体" w:hAnsi="宋体"/>
                <w:color w:val="000000"/>
                <w:sz w:val="24"/>
              </w:rPr>
            </w:pPr>
          </w:p>
        </w:tc>
        <w:tc>
          <w:tcPr>
            <w:tcW w:w="1440" w:type="dxa"/>
            <w:vAlign w:val="center"/>
          </w:tcPr>
          <w:p w:rsidR="00812877" w:rsidRDefault="00812877" w:rsidP="003A3E80">
            <w:pPr>
              <w:spacing w:line="260" w:lineRule="exact"/>
              <w:rPr>
                <w:rFonts w:ascii="仿宋_GB2312" w:eastAsia="仿宋_GB2312"/>
                <w:color w:val="000000"/>
                <w:sz w:val="24"/>
              </w:rPr>
            </w:pPr>
            <w:r>
              <w:rPr>
                <w:rFonts w:ascii="仿宋_GB2312" w:eastAsia="仿宋_GB2312" w:hint="eastAsia"/>
                <w:color w:val="000000"/>
                <w:sz w:val="24"/>
              </w:rPr>
              <w:t>17、开展社会公益活动情况（2分）</w:t>
            </w:r>
          </w:p>
        </w:tc>
        <w:tc>
          <w:tcPr>
            <w:tcW w:w="6840" w:type="dxa"/>
            <w:vAlign w:val="center"/>
          </w:tcPr>
          <w:p w:rsidR="00812877" w:rsidRDefault="00812877" w:rsidP="003A3E80">
            <w:pPr>
              <w:spacing w:line="260" w:lineRule="exact"/>
              <w:ind w:firstLineChars="200" w:firstLine="480"/>
              <w:rPr>
                <w:rFonts w:ascii="仿宋_GB2312" w:eastAsia="仿宋_GB2312"/>
                <w:color w:val="000000"/>
                <w:sz w:val="24"/>
              </w:rPr>
            </w:pPr>
            <w:r>
              <w:rPr>
                <w:rFonts w:ascii="仿宋_GB2312" w:eastAsia="仿宋_GB2312" w:hint="eastAsia"/>
                <w:color w:val="000000"/>
                <w:sz w:val="24"/>
              </w:rPr>
              <w:t>积极参加面向社会的法制宣传、法律热线等社会服务活动，积极开展捐资助学、助残、救灾等社会公益活动，并有相应证明；积极参加涉法案件接访等维护社会稳定的工作，并有工作记录（2分）。</w:t>
            </w:r>
          </w:p>
        </w:tc>
        <w:tc>
          <w:tcPr>
            <w:tcW w:w="3600" w:type="dxa"/>
            <w:vAlign w:val="center"/>
          </w:tcPr>
          <w:p w:rsidR="00812877" w:rsidRDefault="00812877" w:rsidP="003A3E80">
            <w:pPr>
              <w:spacing w:line="260" w:lineRule="exact"/>
              <w:ind w:firstLineChars="200" w:firstLine="480"/>
              <w:jc w:val="left"/>
              <w:rPr>
                <w:rFonts w:ascii="仿宋_GB2312" w:eastAsia="仿宋_GB2312"/>
                <w:color w:val="000000"/>
                <w:sz w:val="24"/>
              </w:rPr>
            </w:pPr>
            <w:r>
              <w:rPr>
                <w:rFonts w:ascii="仿宋_GB2312" w:eastAsia="仿宋_GB2312" w:hint="eastAsia"/>
                <w:color w:val="000000"/>
                <w:sz w:val="24"/>
              </w:rPr>
              <w:t>按项计分。其中，每少一项扣1分。</w:t>
            </w:r>
          </w:p>
        </w:tc>
        <w:tc>
          <w:tcPr>
            <w:tcW w:w="900" w:type="dxa"/>
            <w:vAlign w:val="center"/>
          </w:tcPr>
          <w:p w:rsidR="00812877" w:rsidRDefault="00812877" w:rsidP="003A3E80">
            <w:pPr>
              <w:spacing w:line="260" w:lineRule="exact"/>
              <w:jc w:val="center"/>
              <w:rPr>
                <w:rFonts w:ascii="仿宋_GB2312" w:eastAsia="仿宋_GB2312"/>
                <w:color w:val="000000"/>
                <w:sz w:val="24"/>
              </w:rPr>
            </w:pPr>
          </w:p>
        </w:tc>
        <w:tc>
          <w:tcPr>
            <w:tcW w:w="900" w:type="dxa"/>
            <w:vAlign w:val="center"/>
          </w:tcPr>
          <w:p w:rsidR="00812877" w:rsidRDefault="00812877" w:rsidP="003A3E80">
            <w:pPr>
              <w:spacing w:line="260" w:lineRule="exact"/>
              <w:jc w:val="center"/>
              <w:rPr>
                <w:rFonts w:ascii="仿宋_GB2312" w:eastAsia="仿宋_GB2312"/>
                <w:color w:val="000000"/>
                <w:sz w:val="24"/>
              </w:rPr>
            </w:pPr>
          </w:p>
        </w:tc>
      </w:tr>
      <w:tr w:rsidR="00812877" w:rsidTr="003A3E80">
        <w:trPr>
          <w:trHeight w:val="1046"/>
        </w:trPr>
        <w:tc>
          <w:tcPr>
            <w:tcW w:w="1260" w:type="dxa"/>
            <w:vMerge w:val="restart"/>
            <w:vAlign w:val="center"/>
          </w:tcPr>
          <w:p w:rsidR="00812877" w:rsidRDefault="00812877" w:rsidP="003A3E80">
            <w:pPr>
              <w:spacing w:line="260" w:lineRule="exact"/>
              <w:rPr>
                <w:rFonts w:ascii="宋体" w:hAnsi="宋体"/>
                <w:color w:val="000000"/>
                <w:sz w:val="24"/>
              </w:rPr>
            </w:pPr>
            <w:r>
              <w:rPr>
                <w:rFonts w:ascii="宋体" w:hAnsi="宋体" w:hint="eastAsia"/>
                <w:color w:val="000000"/>
                <w:sz w:val="24"/>
              </w:rPr>
              <w:t>五、履行律协义务（5分）</w:t>
            </w:r>
          </w:p>
        </w:tc>
        <w:tc>
          <w:tcPr>
            <w:tcW w:w="1440" w:type="dxa"/>
            <w:vAlign w:val="center"/>
          </w:tcPr>
          <w:p w:rsidR="00812877" w:rsidRDefault="00812877" w:rsidP="003A3E80">
            <w:pPr>
              <w:spacing w:line="260" w:lineRule="exact"/>
              <w:rPr>
                <w:rFonts w:ascii="仿宋_GB2312" w:eastAsia="仿宋_GB2312"/>
                <w:color w:val="000000"/>
                <w:sz w:val="24"/>
              </w:rPr>
            </w:pPr>
            <w:r>
              <w:rPr>
                <w:rFonts w:ascii="仿宋_GB2312" w:eastAsia="仿宋_GB2312" w:hint="eastAsia"/>
                <w:color w:val="000000"/>
                <w:sz w:val="24"/>
              </w:rPr>
              <w:t>18、完成法律援助义务情况（2分）</w:t>
            </w:r>
          </w:p>
        </w:tc>
        <w:tc>
          <w:tcPr>
            <w:tcW w:w="6840" w:type="dxa"/>
            <w:vAlign w:val="center"/>
          </w:tcPr>
          <w:p w:rsidR="00812877" w:rsidRDefault="00812877" w:rsidP="003A3E80">
            <w:pPr>
              <w:spacing w:line="260" w:lineRule="exact"/>
              <w:ind w:firstLineChars="200" w:firstLine="480"/>
              <w:rPr>
                <w:rFonts w:ascii="仿宋_GB2312" w:eastAsia="仿宋_GB2312"/>
                <w:color w:val="000000"/>
                <w:sz w:val="24"/>
              </w:rPr>
            </w:pPr>
            <w:r>
              <w:rPr>
                <w:rFonts w:ascii="仿宋_GB2312" w:eastAsia="仿宋_GB2312" w:hint="eastAsia"/>
                <w:color w:val="000000"/>
                <w:sz w:val="24"/>
              </w:rPr>
              <w:t>完成主管司法局规定的法律援助义务量（2分）。</w:t>
            </w:r>
          </w:p>
        </w:tc>
        <w:tc>
          <w:tcPr>
            <w:tcW w:w="3600" w:type="dxa"/>
            <w:vAlign w:val="center"/>
          </w:tcPr>
          <w:p w:rsidR="00812877" w:rsidRDefault="00812877" w:rsidP="003A3E80">
            <w:pPr>
              <w:spacing w:line="260" w:lineRule="exact"/>
              <w:ind w:firstLineChars="200" w:firstLine="480"/>
              <w:jc w:val="left"/>
              <w:rPr>
                <w:rFonts w:ascii="仿宋_GB2312" w:eastAsia="仿宋_GB2312"/>
                <w:color w:val="000000"/>
                <w:sz w:val="24"/>
              </w:rPr>
            </w:pPr>
            <w:r>
              <w:rPr>
                <w:rFonts w:ascii="仿宋_GB2312" w:eastAsia="仿宋_GB2312" w:hint="eastAsia"/>
                <w:color w:val="000000"/>
                <w:sz w:val="24"/>
              </w:rPr>
              <w:t>按项计分。其中，每有一名律师完不成法律援助任务扣1分。</w:t>
            </w:r>
          </w:p>
        </w:tc>
        <w:tc>
          <w:tcPr>
            <w:tcW w:w="900" w:type="dxa"/>
            <w:vAlign w:val="center"/>
          </w:tcPr>
          <w:p w:rsidR="00812877" w:rsidRDefault="00812877" w:rsidP="003A3E80">
            <w:pPr>
              <w:spacing w:line="260" w:lineRule="exact"/>
              <w:jc w:val="center"/>
              <w:rPr>
                <w:rFonts w:ascii="仿宋_GB2312" w:eastAsia="仿宋_GB2312"/>
                <w:color w:val="000000"/>
                <w:sz w:val="24"/>
              </w:rPr>
            </w:pPr>
          </w:p>
        </w:tc>
        <w:tc>
          <w:tcPr>
            <w:tcW w:w="900" w:type="dxa"/>
            <w:vAlign w:val="center"/>
          </w:tcPr>
          <w:p w:rsidR="00812877" w:rsidRDefault="00812877" w:rsidP="003A3E80">
            <w:pPr>
              <w:spacing w:line="260" w:lineRule="exact"/>
              <w:jc w:val="center"/>
              <w:rPr>
                <w:rFonts w:ascii="仿宋_GB2312" w:eastAsia="仿宋_GB2312"/>
                <w:color w:val="000000"/>
                <w:sz w:val="24"/>
              </w:rPr>
            </w:pPr>
          </w:p>
        </w:tc>
      </w:tr>
      <w:tr w:rsidR="00812877" w:rsidTr="003A3E80">
        <w:trPr>
          <w:trHeight w:val="933"/>
        </w:trPr>
        <w:tc>
          <w:tcPr>
            <w:tcW w:w="1260" w:type="dxa"/>
            <w:vMerge/>
            <w:vAlign w:val="center"/>
          </w:tcPr>
          <w:p w:rsidR="00812877" w:rsidRDefault="00812877" w:rsidP="003A3E80">
            <w:pPr>
              <w:spacing w:line="260" w:lineRule="exact"/>
              <w:rPr>
                <w:rFonts w:ascii="宋体" w:hAnsi="宋体"/>
                <w:color w:val="000000"/>
                <w:sz w:val="24"/>
              </w:rPr>
            </w:pPr>
          </w:p>
        </w:tc>
        <w:tc>
          <w:tcPr>
            <w:tcW w:w="1440" w:type="dxa"/>
          </w:tcPr>
          <w:p w:rsidR="00812877" w:rsidRDefault="00812877" w:rsidP="003A3E80">
            <w:pPr>
              <w:spacing w:line="260" w:lineRule="exact"/>
              <w:rPr>
                <w:rFonts w:ascii="仿宋_GB2312" w:eastAsia="仿宋_GB2312"/>
                <w:color w:val="000000"/>
                <w:sz w:val="24"/>
              </w:rPr>
            </w:pPr>
            <w:r>
              <w:rPr>
                <w:rFonts w:ascii="仿宋_GB2312" w:eastAsia="仿宋_GB2312" w:hint="eastAsia"/>
                <w:color w:val="000000"/>
                <w:sz w:val="24"/>
              </w:rPr>
              <w:t>19、缴纳会费情况（2分）</w:t>
            </w:r>
          </w:p>
        </w:tc>
        <w:tc>
          <w:tcPr>
            <w:tcW w:w="6840" w:type="dxa"/>
            <w:vAlign w:val="center"/>
          </w:tcPr>
          <w:p w:rsidR="00812877" w:rsidRDefault="00812877" w:rsidP="003A3E80">
            <w:pPr>
              <w:spacing w:line="260" w:lineRule="exact"/>
              <w:ind w:firstLineChars="200" w:firstLine="480"/>
              <w:rPr>
                <w:rFonts w:ascii="仿宋_GB2312" w:eastAsia="仿宋_GB2312"/>
                <w:color w:val="000000"/>
                <w:sz w:val="24"/>
              </w:rPr>
            </w:pPr>
            <w:r>
              <w:rPr>
                <w:rFonts w:ascii="仿宋_GB2312" w:eastAsia="仿宋_GB2312" w:hint="eastAsia"/>
                <w:color w:val="000000"/>
                <w:sz w:val="24"/>
              </w:rPr>
              <w:t>律师事务所、律师按时足额缴纳律师协会会费（2分）。</w:t>
            </w:r>
          </w:p>
        </w:tc>
        <w:tc>
          <w:tcPr>
            <w:tcW w:w="3600" w:type="dxa"/>
            <w:vAlign w:val="center"/>
          </w:tcPr>
          <w:p w:rsidR="00812877" w:rsidRDefault="00812877" w:rsidP="003A3E80">
            <w:pPr>
              <w:spacing w:line="260" w:lineRule="exact"/>
              <w:ind w:firstLineChars="200" w:firstLine="480"/>
              <w:jc w:val="left"/>
              <w:rPr>
                <w:rFonts w:ascii="仿宋_GB2312" w:eastAsia="仿宋_GB2312"/>
                <w:color w:val="000000"/>
                <w:sz w:val="24"/>
              </w:rPr>
            </w:pPr>
          </w:p>
        </w:tc>
        <w:tc>
          <w:tcPr>
            <w:tcW w:w="900" w:type="dxa"/>
            <w:vAlign w:val="center"/>
          </w:tcPr>
          <w:p w:rsidR="00812877" w:rsidRDefault="00812877" w:rsidP="003A3E80">
            <w:pPr>
              <w:spacing w:line="260" w:lineRule="exact"/>
              <w:jc w:val="center"/>
              <w:rPr>
                <w:rFonts w:ascii="仿宋_GB2312" w:eastAsia="仿宋_GB2312"/>
                <w:color w:val="000000"/>
                <w:sz w:val="24"/>
              </w:rPr>
            </w:pPr>
          </w:p>
        </w:tc>
        <w:tc>
          <w:tcPr>
            <w:tcW w:w="900" w:type="dxa"/>
            <w:vAlign w:val="center"/>
          </w:tcPr>
          <w:p w:rsidR="00812877" w:rsidRDefault="00812877" w:rsidP="003A3E80">
            <w:pPr>
              <w:spacing w:line="260" w:lineRule="exact"/>
              <w:jc w:val="center"/>
              <w:rPr>
                <w:rFonts w:ascii="仿宋_GB2312" w:eastAsia="仿宋_GB2312"/>
                <w:color w:val="000000"/>
                <w:sz w:val="24"/>
              </w:rPr>
            </w:pPr>
          </w:p>
        </w:tc>
      </w:tr>
      <w:tr w:rsidR="00812877" w:rsidTr="003A3E80">
        <w:trPr>
          <w:trHeight w:val="849"/>
        </w:trPr>
        <w:tc>
          <w:tcPr>
            <w:tcW w:w="1260" w:type="dxa"/>
            <w:vMerge/>
            <w:vAlign w:val="center"/>
          </w:tcPr>
          <w:p w:rsidR="00812877" w:rsidRDefault="00812877" w:rsidP="003A3E80">
            <w:pPr>
              <w:spacing w:line="260" w:lineRule="exact"/>
              <w:rPr>
                <w:rFonts w:ascii="宋体" w:hAnsi="宋体"/>
                <w:color w:val="000000"/>
                <w:sz w:val="24"/>
              </w:rPr>
            </w:pPr>
          </w:p>
        </w:tc>
        <w:tc>
          <w:tcPr>
            <w:tcW w:w="1440" w:type="dxa"/>
          </w:tcPr>
          <w:p w:rsidR="00812877" w:rsidRDefault="00812877" w:rsidP="003A3E80">
            <w:pPr>
              <w:spacing w:line="260" w:lineRule="exact"/>
              <w:rPr>
                <w:rFonts w:ascii="仿宋_GB2312" w:eastAsia="仿宋_GB2312"/>
                <w:color w:val="000000"/>
                <w:sz w:val="24"/>
              </w:rPr>
            </w:pPr>
            <w:r>
              <w:rPr>
                <w:rFonts w:ascii="仿宋_GB2312" w:eastAsia="仿宋_GB2312" w:hint="eastAsia"/>
                <w:color w:val="000000"/>
                <w:sz w:val="24"/>
              </w:rPr>
              <w:t>20、遵守律师协会章程情况（1分）</w:t>
            </w:r>
          </w:p>
        </w:tc>
        <w:tc>
          <w:tcPr>
            <w:tcW w:w="6840" w:type="dxa"/>
            <w:vAlign w:val="center"/>
          </w:tcPr>
          <w:p w:rsidR="00812877" w:rsidRDefault="00812877" w:rsidP="003A3E80">
            <w:pPr>
              <w:spacing w:line="260" w:lineRule="exact"/>
              <w:ind w:firstLineChars="200" w:firstLine="480"/>
              <w:rPr>
                <w:rFonts w:ascii="仿宋_GB2312" w:eastAsia="仿宋_GB2312"/>
                <w:color w:val="000000"/>
                <w:sz w:val="24"/>
              </w:rPr>
            </w:pPr>
            <w:r>
              <w:rPr>
                <w:rFonts w:ascii="仿宋_GB2312" w:eastAsia="仿宋_GB2312" w:hint="eastAsia"/>
                <w:color w:val="000000"/>
                <w:sz w:val="24"/>
              </w:rPr>
              <w:t>能够自觉遵守律师协会章程（1分）</w:t>
            </w:r>
          </w:p>
        </w:tc>
        <w:tc>
          <w:tcPr>
            <w:tcW w:w="3600" w:type="dxa"/>
            <w:vAlign w:val="center"/>
          </w:tcPr>
          <w:p w:rsidR="00812877" w:rsidRDefault="00812877" w:rsidP="003A3E80">
            <w:pPr>
              <w:spacing w:line="260" w:lineRule="exact"/>
              <w:ind w:firstLineChars="200" w:firstLine="480"/>
              <w:jc w:val="left"/>
              <w:rPr>
                <w:rFonts w:ascii="仿宋_GB2312" w:eastAsia="仿宋_GB2312"/>
                <w:color w:val="000000"/>
                <w:sz w:val="24"/>
              </w:rPr>
            </w:pPr>
          </w:p>
        </w:tc>
        <w:tc>
          <w:tcPr>
            <w:tcW w:w="900" w:type="dxa"/>
            <w:vAlign w:val="center"/>
          </w:tcPr>
          <w:p w:rsidR="00812877" w:rsidRDefault="00812877" w:rsidP="003A3E80">
            <w:pPr>
              <w:spacing w:line="260" w:lineRule="exact"/>
              <w:jc w:val="center"/>
              <w:rPr>
                <w:rFonts w:ascii="仿宋_GB2312" w:eastAsia="仿宋_GB2312"/>
                <w:color w:val="000000"/>
                <w:sz w:val="24"/>
              </w:rPr>
            </w:pPr>
          </w:p>
        </w:tc>
        <w:tc>
          <w:tcPr>
            <w:tcW w:w="900" w:type="dxa"/>
            <w:vAlign w:val="center"/>
          </w:tcPr>
          <w:p w:rsidR="00812877" w:rsidRDefault="00812877" w:rsidP="003A3E80">
            <w:pPr>
              <w:spacing w:line="260" w:lineRule="exact"/>
              <w:jc w:val="center"/>
              <w:rPr>
                <w:rFonts w:ascii="仿宋_GB2312" w:eastAsia="仿宋_GB2312"/>
                <w:color w:val="000000"/>
                <w:sz w:val="24"/>
              </w:rPr>
            </w:pPr>
          </w:p>
        </w:tc>
      </w:tr>
      <w:tr w:rsidR="00812877" w:rsidTr="003A3E80">
        <w:trPr>
          <w:trHeight w:val="453"/>
        </w:trPr>
        <w:tc>
          <w:tcPr>
            <w:tcW w:w="1260" w:type="dxa"/>
            <w:vMerge w:val="restart"/>
            <w:vAlign w:val="center"/>
          </w:tcPr>
          <w:p w:rsidR="00812877" w:rsidRDefault="00812877" w:rsidP="003A3E80">
            <w:pPr>
              <w:spacing w:line="260" w:lineRule="exact"/>
              <w:jc w:val="center"/>
              <w:rPr>
                <w:rFonts w:ascii="宋体" w:hAnsi="宋体"/>
                <w:color w:val="000000"/>
                <w:sz w:val="24"/>
              </w:rPr>
            </w:pPr>
            <w:r>
              <w:rPr>
                <w:rFonts w:ascii="宋体" w:hAnsi="宋体" w:hint="eastAsia"/>
                <w:color w:val="000000"/>
                <w:sz w:val="24"/>
              </w:rPr>
              <w:t>六、一票否决事项</w:t>
            </w:r>
          </w:p>
        </w:tc>
        <w:tc>
          <w:tcPr>
            <w:tcW w:w="8280" w:type="dxa"/>
            <w:gridSpan w:val="2"/>
            <w:vAlign w:val="center"/>
          </w:tcPr>
          <w:p w:rsidR="00812877" w:rsidRDefault="00812877" w:rsidP="003A3E80">
            <w:pPr>
              <w:spacing w:line="260" w:lineRule="exact"/>
              <w:ind w:firstLineChars="200" w:firstLine="480"/>
              <w:rPr>
                <w:rFonts w:ascii="仿宋_GB2312" w:eastAsia="仿宋_GB2312"/>
                <w:color w:val="000000"/>
                <w:sz w:val="24"/>
              </w:rPr>
            </w:pPr>
            <w:r>
              <w:rPr>
                <w:rFonts w:ascii="仿宋_GB2312" w:eastAsia="仿宋_GB2312" w:hint="eastAsia"/>
                <w:color w:val="000000"/>
                <w:sz w:val="24"/>
              </w:rPr>
              <w:t>律师事务所放任、纵容、袒护律师执业违法行为，造成严重后果。</w:t>
            </w:r>
          </w:p>
        </w:tc>
        <w:tc>
          <w:tcPr>
            <w:tcW w:w="3600" w:type="dxa"/>
            <w:vMerge w:val="restart"/>
            <w:vAlign w:val="center"/>
          </w:tcPr>
          <w:p w:rsidR="00812877" w:rsidRDefault="00812877" w:rsidP="003A3E80">
            <w:pPr>
              <w:spacing w:line="260" w:lineRule="exact"/>
              <w:ind w:firstLineChars="200" w:firstLine="480"/>
              <w:jc w:val="left"/>
              <w:rPr>
                <w:rFonts w:ascii="仿宋_GB2312" w:eastAsia="仿宋_GB2312"/>
                <w:color w:val="000000"/>
                <w:sz w:val="24"/>
              </w:rPr>
            </w:pPr>
            <w:r>
              <w:rPr>
                <w:rFonts w:ascii="仿宋_GB2312" w:eastAsia="仿宋_GB2312" w:hint="eastAsia"/>
                <w:color w:val="000000"/>
                <w:sz w:val="24"/>
              </w:rPr>
              <w:t>凡出现任何一项规定的情形，考核总分为0分。</w:t>
            </w:r>
          </w:p>
        </w:tc>
        <w:tc>
          <w:tcPr>
            <w:tcW w:w="900" w:type="dxa"/>
            <w:vMerge w:val="restart"/>
            <w:vAlign w:val="center"/>
          </w:tcPr>
          <w:p w:rsidR="00812877" w:rsidRDefault="00812877" w:rsidP="003A3E80">
            <w:pPr>
              <w:spacing w:line="260" w:lineRule="exact"/>
              <w:jc w:val="center"/>
              <w:rPr>
                <w:rFonts w:ascii="仿宋_GB2312" w:eastAsia="仿宋_GB2312"/>
                <w:color w:val="000000"/>
                <w:sz w:val="32"/>
                <w:szCs w:val="32"/>
              </w:rPr>
            </w:pPr>
          </w:p>
        </w:tc>
        <w:tc>
          <w:tcPr>
            <w:tcW w:w="900" w:type="dxa"/>
            <w:vMerge w:val="restart"/>
            <w:vAlign w:val="center"/>
          </w:tcPr>
          <w:p w:rsidR="00812877" w:rsidRDefault="00812877" w:rsidP="003A3E80">
            <w:pPr>
              <w:spacing w:line="260" w:lineRule="exact"/>
              <w:jc w:val="center"/>
              <w:rPr>
                <w:rFonts w:ascii="仿宋_GB2312" w:eastAsia="仿宋_GB2312"/>
                <w:color w:val="000000"/>
                <w:sz w:val="32"/>
                <w:szCs w:val="32"/>
              </w:rPr>
            </w:pPr>
          </w:p>
        </w:tc>
      </w:tr>
      <w:tr w:rsidR="00812877" w:rsidTr="003A3E80">
        <w:trPr>
          <w:trHeight w:val="70"/>
        </w:trPr>
        <w:tc>
          <w:tcPr>
            <w:tcW w:w="1260" w:type="dxa"/>
            <w:vMerge/>
            <w:vAlign w:val="center"/>
          </w:tcPr>
          <w:p w:rsidR="00812877" w:rsidRDefault="00812877" w:rsidP="003A3E80">
            <w:pPr>
              <w:spacing w:line="260" w:lineRule="exact"/>
              <w:rPr>
                <w:rFonts w:ascii="宋体" w:hAnsi="宋体"/>
                <w:color w:val="000000"/>
                <w:sz w:val="24"/>
              </w:rPr>
            </w:pPr>
          </w:p>
        </w:tc>
        <w:tc>
          <w:tcPr>
            <w:tcW w:w="8280" w:type="dxa"/>
            <w:gridSpan w:val="2"/>
            <w:vAlign w:val="center"/>
          </w:tcPr>
          <w:p w:rsidR="00812877" w:rsidRDefault="00812877" w:rsidP="003A3E80">
            <w:pPr>
              <w:spacing w:line="260" w:lineRule="exact"/>
              <w:ind w:firstLineChars="200" w:firstLine="480"/>
              <w:rPr>
                <w:rFonts w:ascii="仿宋_GB2312" w:eastAsia="仿宋_GB2312"/>
                <w:color w:val="000000"/>
                <w:sz w:val="24"/>
              </w:rPr>
            </w:pPr>
            <w:r>
              <w:rPr>
                <w:rFonts w:ascii="仿宋_GB2312" w:eastAsia="仿宋_GB2312" w:hint="eastAsia"/>
                <w:color w:val="000000"/>
                <w:sz w:val="24"/>
              </w:rPr>
              <w:t>不按规定建立健全内部管理制度，日常管理松懈、混乱，造成本所不能正常运转。</w:t>
            </w:r>
          </w:p>
        </w:tc>
        <w:tc>
          <w:tcPr>
            <w:tcW w:w="3600" w:type="dxa"/>
            <w:vMerge/>
            <w:vAlign w:val="center"/>
          </w:tcPr>
          <w:p w:rsidR="00812877" w:rsidRDefault="00812877" w:rsidP="003A3E80">
            <w:pPr>
              <w:spacing w:line="260" w:lineRule="exact"/>
              <w:jc w:val="center"/>
              <w:rPr>
                <w:rFonts w:ascii="仿宋_GB2312" w:eastAsia="仿宋_GB2312"/>
                <w:color w:val="000000"/>
                <w:sz w:val="24"/>
              </w:rPr>
            </w:pPr>
          </w:p>
        </w:tc>
        <w:tc>
          <w:tcPr>
            <w:tcW w:w="900" w:type="dxa"/>
            <w:vMerge/>
            <w:vAlign w:val="center"/>
          </w:tcPr>
          <w:p w:rsidR="00812877" w:rsidRDefault="00812877" w:rsidP="003A3E80">
            <w:pPr>
              <w:spacing w:line="260" w:lineRule="exact"/>
              <w:jc w:val="center"/>
              <w:rPr>
                <w:rFonts w:ascii="仿宋_GB2312" w:eastAsia="仿宋_GB2312"/>
                <w:color w:val="000000"/>
                <w:sz w:val="32"/>
                <w:szCs w:val="32"/>
              </w:rPr>
            </w:pPr>
          </w:p>
        </w:tc>
        <w:tc>
          <w:tcPr>
            <w:tcW w:w="900" w:type="dxa"/>
            <w:vMerge/>
            <w:vAlign w:val="center"/>
          </w:tcPr>
          <w:p w:rsidR="00812877" w:rsidRDefault="00812877" w:rsidP="003A3E80">
            <w:pPr>
              <w:spacing w:line="260" w:lineRule="exact"/>
              <w:jc w:val="center"/>
              <w:rPr>
                <w:rFonts w:ascii="仿宋_GB2312" w:eastAsia="仿宋_GB2312"/>
                <w:color w:val="000000"/>
                <w:sz w:val="32"/>
                <w:szCs w:val="32"/>
              </w:rPr>
            </w:pPr>
          </w:p>
        </w:tc>
      </w:tr>
      <w:tr w:rsidR="00812877" w:rsidTr="003A3E80">
        <w:trPr>
          <w:trHeight w:val="453"/>
        </w:trPr>
        <w:tc>
          <w:tcPr>
            <w:tcW w:w="1260" w:type="dxa"/>
            <w:vMerge/>
            <w:vAlign w:val="center"/>
          </w:tcPr>
          <w:p w:rsidR="00812877" w:rsidRDefault="00812877" w:rsidP="003A3E80">
            <w:pPr>
              <w:spacing w:line="260" w:lineRule="exact"/>
              <w:rPr>
                <w:rFonts w:ascii="宋体" w:hAnsi="宋体"/>
                <w:color w:val="000000"/>
                <w:sz w:val="24"/>
              </w:rPr>
            </w:pPr>
          </w:p>
        </w:tc>
        <w:tc>
          <w:tcPr>
            <w:tcW w:w="8280" w:type="dxa"/>
            <w:gridSpan w:val="2"/>
            <w:vAlign w:val="center"/>
          </w:tcPr>
          <w:p w:rsidR="00812877" w:rsidRDefault="00812877" w:rsidP="003A3E80">
            <w:pPr>
              <w:spacing w:line="260" w:lineRule="exact"/>
              <w:ind w:firstLineChars="200" w:firstLine="480"/>
              <w:rPr>
                <w:rFonts w:ascii="仿宋_GB2312" w:eastAsia="仿宋_GB2312"/>
                <w:color w:val="000000"/>
                <w:sz w:val="24"/>
              </w:rPr>
            </w:pPr>
            <w:r>
              <w:rPr>
                <w:rFonts w:ascii="仿宋_GB2312" w:eastAsia="仿宋_GB2312" w:hint="eastAsia"/>
                <w:color w:val="000000"/>
                <w:sz w:val="24"/>
              </w:rPr>
              <w:t>本所受到司法行政机关行政处罚，未按要求进行整改或整改未达标。</w:t>
            </w:r>
          </w:p>
        </w:tc>
        <w:tc>
          <w:tcPr>
            <w:tcW w:w="3600" w:type="dxa"/>
            <w:vMerge/>
            <w:vAlign w:val="center"/>
          </w:tcPr>
          <w:p w:rsidR="00812877" w:rsidRDefault="00812877" w:rsidP="003A3E80">
            <w:pPr>
              <w:spacing w:line="260" w:lineRule="exact"/>
              <w:jc w:val="center"/>
              <w:rPr>
                <w:rFonts w:ascii="仿宋_GB2312" w:eastAsia="仿宋_GB2312"/>
                <w:color w:val="000000"/>
                <w:sz w:val="24"/>
              </w:rPr>
            </w:pPr>
          </w:p>
        </w:tc>
        <w:tc>
          <w:tcPr>
            <w:tcW w:w="900" w:type="dxa"/>
            <w:vMerge/>
            <w:vAlign w:val="center"/>
          </w:tcPr>
          <w:p w:rsidR="00812877" w:rsidRDefault="00812877" w:rsidP="003A3E80">
            <w:pPr>
              <w:spacing w:line="260" w:lineRule="exact"/>
              <w:jc w:val="center"/>
              <w:rPr>
                <w:rFonts w:ascii="仿宋_GB2312" w:eastAsia="仿宋_GB2312"/>
                <w:color w:val="000000"/>
                <w:sz w:val="32"/>
                <w:szCs w:val="32"/>
              </w:rPr>
            </w:pPr>
          </w:p>
        </w:tc>
        <w:tc>
          <w:tcPr>
            <w:tcW w:w="900" w:type="dxa"/>
            <w:vMerge/>
            <w:vAlign w:val="center"/>
          </w:tcPr>
          <w:p w:rsidR="00812877" w:rsidRDefault="00812877" w:rsidP="003A3E80">
            <w:pPr>
              <w:spacing w:line="260" w:lineRule="exact"/>
              <w:jc w:val="center"/>
              <w:rPr>
                <w:rFonts w:ascii="仿宋_GB2312" w:eastAsia="仿宋_GB2312"/>
                <w:color w:val="000000"/>
                <w:sz w:val="32"/>
                <w:szCs w:val="32"/>
              </w:rPr>
            </w:pPr>
          </w:p>
        </w:tc>
      </w:tr>
      <w:tr w:rsidR="00812877" w:rsidTr="003A3E80">
        <w:trPr>
          <w:trHeight w:val="444"/>
        </w:trPr>
        <w:tc>
          <w:tcPr>
            <w:tcW w:w="1260" w:type="dxa"/>
            <w:vMerge/>
            <w:vAlign w:val="center"/>
          </w:tcPr>
          <w:p w:rsidR="00812877" w:rsidRDefault="00812877" w:rsidP="003A3E80">
            <w:pPr>
              <w:spacing w:line="260" w:lineRule="exact"/>
              <w:rPr>
                <w:rFonts w:ascii="仿宋_GB2312" w:eastAsia="仿宋_GB2312"/>
                <w:color w:val="000000"/>
                <w:sz w:val="24"/>
              </w:rPr>
            </w:pPr>
          </w:p>
        </w:tc>
        <w:tc>
          <w:tcPr>
            <w:tcW w:w="8280" w:type="dxa"/>
            <w:gridSpan w:val="2"/>
            <w:vAlign w:val="center"/>
          </w:tcPr>
          <w:p w:rsidR="00812877" w:rsidRDefault="00812877" w:rsidP="003A3E80">
            <w:pPr>
              <w:spacing w:line="260" w:lineRule="exact"/>
              <w:ind w:firstLineChars="200" w:firstLine="480"/>
              <w:rPr>
                <w:rFonts w:ascii="仿宋_GB2312" w:eastAsia="仿宋_GB2312"/>
                <w:color w:val="000000"/>
                <w:sz w:val="24"/>
              </w:rPr>
            </w:pPr>
            <w:r>
              <w:rPr>
                <w:rFonts w:ascii="仿宋_GB2312" w:eastAsia="仿宋_GB2312" w:hint="eastAsia"/>
                <w:color w:val="000000"/>
                <w:sz w:val="24"/>
              </w:rPr>
              <w:t>本所不能保持《律师法》、《律师事务所管理办法》规定的法定设立条件。</w:t>
            </w:r>
          </w:p>
        </w:tc>
        <w:tc>
          <w:tcPr>
            <w:tcW w:w="3600" w:type="dxa"/>
            <w:vMerge/>
            <w:vAlign w:val="center"/>
          </w:tcPr>
          <w:p w:rsidR="00812877" w:rsidRDefault="00812877" w:rsidP="003A3E80">
            <w:pPr>
              <w:spacing w:line="260" w:lineRule="exact"/>
              <w:jc w:val="center"/>
              <w:rPr>
                <w:rFonts w:ascii="仿宋_GB2312" w:eastAsia="仿宋_GB2312"/>
                <w:color w:val="000000"/>
                <w:sz w:val="24"/>
              </w:rPr>
            </w:pPr>
          </w:p>
        </w:tc>
        <w:tc>
          <w:tcPr>
            <w:tcW w:w="900" w:type="dxa"/>
            <w:vMerge/>
            <w:vAlign w:val="center"/>
          </w:tcPr>
          <w:p w:rsidR="00812877" w:rsidRDefault="00812877" w:rsidP="003A3E80">
            <w:pPr>
              <w:spacing w:line="260" w:lineRule="exact"/>
              <w:jc w:val="center"/>
              <w:rPr>
                <w:rFonts w:ascii="仿宋_GB2312" w:eastAsia="仿宋_GB2312"/>
                <w:color w:val="000000"/>
                <w:sz w:val="32"/>
                <w:szCs w:val="32"/>
              </w:rPr>
            </w:pPr>
          </w:p>
        </w:tc>
        <w:tc>
          <w:tcPr>
            <w:tcW w:w="900" w:type="dxa"/>
            <w:vMerge/>
            <w:vAlign w:val="center"/>
          </w:tcPr>
          <w:p w:rsidR="00812877" w:rsidRDefault="00812877" w:rsidP="003A3E80">
            <w:pPr>
              <w:spacing w:line="260" w:lineRule="exact"/>
              <w:jc w:val="center"/>
              <w:rPr>
                <w:rFonts w:ascii="仿宋_GB2312" w:eastAsia="仿宋_GB2312"/>
                <w:color w:val="000000"/>
                <w:sz w:val="32"/>
                <w:szCs w:val="32"/>
              </w:rPr>
            </w:pPr>
          </w:p>
        </w:tc>
      </w:tr>
      <w:tr w:rsidR="00812877" w:rsidTr="003A3E80">
        <w:trPr>
          <w:trHeight w:val="70"/>
        </w:trPr>
        <w:tc>
          <w:tcPr>
            <w:tcW w:w="1260" w:type="dxa"/>
            <w:vMerge/>
            <w:vAlign w:val="center"/>
          </w:tcPr>
          <w:p w:rsidR="00812877" w:rsidRDefault="00812877" w:rsidP="003A3E80">
            <w:pPr>
              <w:spacing w:line="260" w:lineRule="exact"/>
              <w:rPr>
                <w:rFonts w:ascii="仿宋_GB2312" w:eastAsia="仿宋_GB2312"/>
                <w:color w:val="000000"/>
                <w:sz w:val="24"/>
              </w:rPr>
            </w:pPr>
          </w:p>
        </w:tc>
        <w:tc>
          <w:tcPr>
            <w:tcW w:w="8280" w:type="dxa"/>
            <w:gridSpan w:val="2"/>
            <w:vAlign w:val="center"/>
          </w:tcPr>
          <w:p w:rsidR="00812877" w:rsidRDefault="00812877" w:rsidP="003A3E80">
            <w:pPr>
              <w:spacing w:line="260" w:lineRule="exact"/>
              <w:ind w:firstLineChars="200" w:firstLine="480"/>
              <w:rPr>
                <w:rFonts w:ascii="仿宋_GB2312" w:eastAsia="仿宋_GB2312"/>
                <w:color w:val="000000"/>
                <w:sz w:val="24"/>
              </w:rPr>
            </w:pPr>
            <w:r>
              <w:rPr>
                <w:rFonts w:ascii="仿宋_GB2312" w:eastAsia="仿宋_GB2312" w:hint="eastAsia"/>
                <w:color w:val="000000"/>
                <w:sz w:val="24"/>
              </w:rPr>
              <w:t>提交的律师事务所年度执业情况报告和律师执业年度考核情况存在严重弄虚作假行为。</w:t>
            </w:r>
          </w:p>
        </w:tc>
        <w:tc>
          <w:tcPr>
            <w:tcW w:w="3600" w:type="dxa"/>
            <w:vMerge/>
            <w:vAlign w:val="center"/>
          </w:tcPr>
          <w:p w:rsidR="00812877" w:rsidRDefault="00812877" w:rsidP="003A3E80">
            <w:pPr>
              <w:spacing w:line="260" w:lineRule="exact"/>
              <w:jc w:val="center"/>
              <w:rPr>
                <w:rFonts w:ascii="仿宋_GB2312" w:eastAsia="仿宋_GB2312"/>
                <w:color w:val="000000"/>
                <w:sz w:val="24"/>
              </w:rPr>
            </w:pPr>
          </w:p>
        </w:tc>
        <w:tc>
          <w:tcPr>
            <w:tcW w:w="900" w:type="dxa"/>
            <w:vMerge/>
            <w:vAlign w:val="center"/>
          </w:tcPr>
          <w:p w:rsidR="00812877" w:rsidRDefault="00812877" w:rsidP="003A3E80">
            <w:pPr>
              <w:spacing w:line="260" w:lineRule="exact"/>
              <w:jc w:val="center"/>
              <w:rPr>
                <w:rFonts w:ascii="仿宋_GB2312" w:eastAsia="仿宋_GB2312"/>
                <w:color w:val="000000"/>
                <w:sz w:val="32"/>
                <w:szCs w:val="32"/>
              </w:rPr>
            </w:pPr>
          </w:p>
        </w:tc>
        <w:tc>
          <w:tcPr>
            <w:tcW w:w="900" w:type="dxa"/>
            <w:vMerge/>
            <w:vAlign w:val="center"/>
          </w:tcPr>
          <w:p w:rsidR="00812877" w:rsidRDefault="00812877" w:rsidP="003A3E80">
            <w:pPr>
              <w:spacing w:line="260" w:lineRule="exact"/>
              <w:jc w:val="center"/>
              <w:rPr>
                <w:rFonts w:ascii="仿宋_GB2312" w:eastAsia="仿宋_GB2312"/>
                <w:color w:val="000000"/>
                <w:sz w:val="32"/>
                <w:szCs w:val="32"/>
              </w:rPr>
            </w:pPr>
          </w:p>
        </w:tc>
      </w:tr>
      <w:tr w:rsidR="00812877" w:rsidTr="003A3E80">
        <w:trPr>
          <w:trHeight w:val="614"/>
        </w:trPr>
        <w:tc>
          <w:tcPr>
            <w:tcW w:w="1260" w:type="dxa"/>
            <w:vMerge/>
            <w:vAlign w:val="center"/>
          </w:tcPr>
          <w:p w:rsidR="00812877" w:rsidRDefault="00812877" w:rsidP="003A3E80">
            <w:pPr>
              <w:spacing w:line="260" w:lineRule="exact"/>
              <w:rPr>
                <w:rFonts w:ascii="仿宋_GB2312" w:eastAsia="仿宋_GB2312"/>
                <w:color w:val="000000"/>
                <w:sz w:val="24"/>
              </w:rPr>
            </w:pPr>
          </w:p>
        </w:tc>
        <w:tc>
          <w:tcPr>
            <w:tcW w:w="8280" w:type="dxa"/>
            <w:gridSpan w:val="2"/>
            <w:vAlign w:val="center"/>
          </w:tcPr>
          <w:p w:rsidR="00812877" w:rsidRDefault="00812877" w:rsidP="003A3E80">
            <w:pPr>
              <w:spacing w:line="260" w:lineRule="exact"/>
              <w:ind w:firstLineChars="200" w:firstLine="480"/>
              <w:rPr>
                <w:rFonts w:ascii="仿宋_GB2312" w:eastAsia="仿宋_GB2312"/>
                <w:color w:val="000000"/>
                <w:sz w:val="24"/>
              </w:rPr>
            </w:pPr>
            <w:r>
              <w:rPr>
                <w:rFonts w:ascii="仿宋_GB2312" w:eastAsia="仿宋_GB2312" w:hint="eastAsia"/>
                <w:color w:val="000000"/>
                <w:sz w:val="24"/>
              </w:rPr>
              <w:t>有其他严重违法行为，造成恶劣社会影响。</w:t>
            </w:r>
          </w:p>
        </w:tc>
        <w:tc>
          <w:tcPr>
            <w:tcW w:w="3600" w:type="dxa"/>
            <w:vMerge/>
            <w:vAlign w:val="center"/>
          </w:tcPr>
          <w:p w:rsidR="00812877" w:rsidRDefault="00812877" w:rsidP="003A3E80">
            <w:pPr>
              <w:spacing w:line="260" w:lineRule="exact"/>
              <w:jc w:val="center"/>
              <w:rPr>
                <w:rFonts w:ascii="仿宋_GB2312" w:eastAsia="仿宋_GB2312"/>
                <w:color w:val="000000"/>
                <w:sz w:val="24"/>
              </w:rPr>
            </w:pPr>
          </w:p>
        </w:tc>
        <w:tc>
          <w:tcPr>
            <w:tcW w:w="900" w:type="dxa"/>
            <w:vMerge/>
            <w:vAlign w:val="center"/>
          </w:tcPr>
          <w:p w:rsidR="00812877" w:rsidRDefault="00812877" w:rsidP="003A3E80">
            <w:pPr>
              <w:spacing w:line="260" w:lineRule="exact"/>
              <w:jc w:val="center"/>
              <w:rPr>
                <w:rFonts w:ascii="仿宋_GB2312" w:eastAsia="仿宋_GB2312"/>
                <w:color w:val="000000"/>
                <w:sz w:val="32"/>
                <w:szCs w:val="32"/>
              </w:rPr>
            </w:pPr>
          </w:p>
        </w:tc>
        <w:tc>
          <w:tcPr>
            <w:tcW w:w="900" w:type="dxa"/>
            <w:vMerge/>
            <w:vAlign w:val="center"/>
          </w:tcPr>
          <w:p w:rsidR="00812877" w:rsidRDefault="00812877" w:rsidP="003A3E80">
            <w:pPr>
              <w:spacing w:line="260" w:lineRule="exact"/>
              <w:jc w:val="center"/>
              <w:rPr>
                <w:rFonts w:ascii="仿宋_GB2312" w:eastAsia="仿宋_GB2312"/>
                <w:color w:val="000000"/>
                <w:sz w:val="32"/>
                <w:szCs w:val="32"/>
              </w:rPr>
            </w:pPr>
          </w:p>
        </w:tc>
      </w:tr>
      <w:tr w:rsidR="00812877" w:rsidTr="003A3E80">
        <w:trPr>
          <w:trHeight w:val="810"/>
        </w:trPr>
        <w:tc>
          <w:tcPr>
            <w:tcW w:w="1260" w:type="dxa"/>
            <w:vAlign w:val="center"/>
          </w:tcPr>
          <w:p w:rsidR="00812877" w:rsidRDefault="00812877" w:rsidP="003A3E80">
            <w:pPr>
              <w:spacing w:line="260" w:lineRule="exact"/>
              <w:rPr>
                <w:rFonts w:ascii="仿宋_GB2312" w:eastAsia="仿宋_GB2312"/>
                <w:color w:val="000000"/>
                <w:sz w:val="24"/>
              </w:rPr>
            </w:pPr>
            <w:r>
              <w:rPr>
                <w:rFonts w:ascii="宋体" w:hAnsi="宋体" w:hint="eastAsia"/>
                <w:color w:val="000000"/>
                <w:sz w:val="24"/>
              </w:rPr>
              <w:t>七、市司法局日常考核（20分）</w:t>
            </w:r>
          </w:p>
        </w:tc>
        <w:tc>
          <w:tcPr>
            <w:tcW w:w="8280" w:type="dxa"/>
            <w:gridSpan w:val="2"/>
          </w:tcPr>
          <w:p w:rsidR="00812877" w:rsidRDefault="00812877" w:rsidP="003A3E80">
            <w:pPr>
              <w:spacing w:line="260" w:lineRule="exact"/>
              <w:rPr>
                <w:rFonts w:ascii="仿宋_GB2312" w:eastAsia="仿宋_GB2312"/>
                <w:color w:val="000000"/>
                <w:sz w:val="24"/>
              </w:rPr>
            </w:pPr>
          </w:p>
          <w:p w:rsidR="00812877" w:rsidRDefault="00812877" w:rsidP="003A3E80">
            <w:pPr>
              <w:spacing w:line="260" w:lineRule="exact"/>
              <w:ind w:firstLineChars="200" w:firstLine="480"/>
              <w:rPr>
                <w:rFonts w:ascii="仿宋_GB2312" w:eastAsia="仿宋_GB2312"/>
                <w:color w:val="000000"/>
                <w:sz w:val="24"/>
              </w:rPr>
            </w:pPr>
            <w:r>
              <w:rPr>
                <w:rFonts w:ascii="仿宋_GB2312" w:eastAsia="仿宋_GB2312" w:hint="eastAsia"/>
                <w:color w:val="000000"/>
                <w:sz w:val="24"/>
              </w:rPr>
              <w:t>日常考核的内容和标准由市司法局根据实际情况制定。</w:t>
            </w:r>
          </w:p>
        </w:tc>
        <w:tc>
          <w:tcPr>
            <w:tcW w:w="3600" w:type="dxa"/>
            <w:vAlign w:val="center"/>
          </w:tcPr>
          <w:p w:rsidR="00812877" w:rsidRDefault="00812877" w:rsidP="003A3E80">
            <w:pPr>
              <w:spacing w:line="260" w:lineRule="exact"/>
              <w:ind w:firstLineChars="200" w:firstLine="480"/>
              <w:jc w:val="left"/>
              <w:rPr>
                <w:rFonts w:ascii="仿宋_GB2312" w:eastAsia="仿宋_GB2312"/>
                <w:color w:val="000000"/>
                <w:sz w:val="24"/>
              </w:rPr>
            </w:pPr>
          </w:p>
        </w:tc>
        <w:tc>
          <w:tcPr>
            <w:tcW w:w="900" w:type="dxa"/>
            <w:vAlign w:val="center"/>
          </w:tcPr>
          <w:p w:rsidR="00812877" w:rsidRDefault="00812877" w:rsidP="003A3E80">
            <w:pPr>
              <w:spacing w:line="260" w:lineRule="exact"/>
              <w:jc w:val="center"/>
              <w:rPr>
                <w:rFonts w:ascii="仿宋_GB2312" w:eastAsia="仿宋_GB2312"/>
                <w:color w:val="000000"/>
                <w:sz w:val="32"/>
                <w:szCs w:val="32"/>
              </w:rPr>
            </w:pPr>
          </w:p>
        </w:tc>
        <w:tc>
          <w:tcPr>
            <w:tcW w:w="900" w:type="dxa"/>
            <w:vAlign w:val="center"/>
          </w:tcPr>
          <w:p w:rsidR="00812877" w:rsidRDefault="00812877" w:rsidP="003A3E80">
            <w:pPr>
              <w:spacing w:line="260" w:lineRule="exact"/>
              <w:jc w:val="center"/>
              <w:rPr>
                <w:rFonts w:ascii="仿宋_GB2312" w:eastAsia="仿宋_GB2312"/>
                <w:color w:val="000000"/>
                <w:sz w:val="32"/>
                <w:szCs w:val="32"/>
              </w:rPr>
            </w:pPr>
          </w:p>
        </w:tc>
      </w:tr>
    </w:tbl>
    <w:p w:rsidR="00812877" w:rsidRDefault="00812877" w:rsidP="00812877">
      <w:pPr>
        <w:spacing w:line="260" w:lineRule="exact"/>
        <w:ind w:firstLineChars="300" w:firstLine="720"/>
        <w:rPr>
          <w:rFonts w:ascii="黑体" w:eastAsia="黑体"/>
          <w:color w:val="000000"/>
          <w:sz w:val="24"/>
        </w:rPr>
      </w:pPr>
    </w:p>
    <w:p w:rsidR="008676E5" w:rsidRPr="00812877" w:rsidRDefault="00812877" w:rsidP="00812877">
      <w:pPr>
        <w:ind w:firstLineChars="300" w:firstLine="720"/>
      </w:pPr>
      <w:r>
        <w:rPr>
          <w:rFonts w:ascii="黑体" w:eastAsia="黑体" w:hint="eastAsia"/>
          <w:color w:val="000000"/>
          <w:sz w:val="24"/>
        </w:rPr>
        <w:t>说明：</w:t>
      </w:r>
      <w:r>
        <w:rPr>
          <w:rFonts w:ascii="宋体" w:hAnsi="宋体" w:hint="eastAsia"/>
          <w:color w:val="000000"/>
          <w:sz w:val="24"/>
        </w:rPr>
        <w:t>本标准规定的扣分情形，未注明扣分上限的，直至扣完所对应小项分数为止。</w:t>
      </w:r>
    </w:p>
    <w:sectPr w:rsidR="008676E5" w:rsidRPr="00812877" w:rsidSect="00812877">
      <w:pgSz w:w="16838" w:h="11906" w:orient="landscape"/>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1D62" w:rsidRDefault="00811D62" w:rsidP="00812877">
      <w:r>
        <w:separator/>
      </w:r>
    </w:p>
  </w:endnote>
  <w:endnote w:type="continuationSeparator" w:id="0">
    <w:p w:rsidR="00811D62" w:rsidRDefault="00811D62" w:rsidP="0081287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1D62" w:rsidRDefault="00811D62" w:rsidP="00812877">
      <w:r>
        <w:separator/>
      </w:r>
    </w:p>
  </w:footnote>
  <w:footnote w:type="continuationSeparator" w:id="0">
    <w:p w:rsidR="00811D62" w:rsidRDefault="00811D62" w:rsidP="0081287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12877"/>
    <w:rsid w:val="002F06D1"/>
    <w:rsid w:val="007043ED"/>
    <w:rsid w:val="00811D62"/>
    <w:rsid w:val="00812877"/>
    <w:rsid w:val="008676E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2877"/>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1287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812877"/>
    <w:rPr>
      <w:sz w:val="18"/>
      <w:szCs w:val="18"/>
    </w:rPr>
  </w:style>
  <w:style w:type="paragraph" w:styleId="a4">
    <w:name w:val="footer"/>
    <w:basedOn w:val="a"/>
    <w:link w:val="Char0"/>
    <w:uiPriority w:val="99"/>
    <w:semiHidden/>
    <w:unhideWhenUsed/>
    <w:rsid w:val="0081287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812877"/>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421</Words>
  <Characters>2405</Characters>
  <Application>Microsoft Office Word</Application>
  <DocSecurity>0</DocSecurity>
  <Lines>20</Lines>
  <Paragraphs>5</Paragraphs>
  <ScaleCrop>false</ScaleCrop>
  <Company>微软中国</Company>
  <LinksUpToDate>false</LinksUpToDate>
  <CharactersWithSpaces>2821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dcterms:created xsi:type="dcterms:W3CDTF">2017-02-08T06:18:00Z</dcterms:created>
  <dcterms:modified xsi:type="dcterms:W3CDTF">2019-02-11T02:30:00Z</dcterms:modified>
</cp:coreProperties>
</file>